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733DFCAF"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1E2916">
        <w:rPr>
          <w:rFonts w:cs="Arial"/>
          <w:sz w:val="24"/>
          <w:szCs w:val="24"/>
        </w:rPr>
        <w:t>4</w:t>
      </w:r>
      <w:r w:rsidR="007D70A7">
        <w:rPr>
          <w:rFonts w:cs="Arial"/>
          <w:sz w:val="24"/>
          <w:szCs w:val="24"/>
        </w:rPr>
        <w:t>-</w:t>
      </w:r>
      <w:r w:rsidR="00FB772D">
        <w:rPr>
          <w:rFonts w:cs="Arial"/>
          <w:sz w:val="24"/>
          <w:szCs w:val="24"/>
        </w:rPr>
        <w:t>e-</w:t>
      </w:r>
      <w:r w:rsidR="00053FB9">
        <w:rPr>
          <w:rFonts w:cs="Arial"/>
          <w:sz w:val="24"/>
          <w:szCs w:val="24"/>
        </w:rPr>
        <w:t>Bis</w:t>
      </w:r>
      <w:r w:rsidRPr="00207615">
        <w:rPr>
          <w:rFonts w:cs="Arial"/>
          <w:sz w:val="24"/>
          <w:szCs w:val="24"/>
        </w:rPr>
        <w:tab/>
      </w:r>
      <w:r w:rsidRPr="004E3B8E">
        <w:rPr>
          <w:rFonts w:cs="Arial"/>
          <w:color w:val="000000"/>
          <w:sz w:val="24"/>
          <w:szCs w:val="24"/>
        </w:rPr>
        <w:t>R4-</w:t>
      </w:r>
      <w:r w:rsidR="001E2916">
        <w:rPr>
          <w:rFonts w:cs="Arial"/>
          <w:color w:val="000000"/>
          <w:sz w:val="24"/>
          <w:szCs w:val="24"/>
        </w:rPr>
        <w:t>200</w:t>
      </w:r>
      <w:r w:rsidR="00FB772D">
        <w:rPr>
          <w:rFonts w:cs="Arial"/>
          <w:color w:val="000000"/>
          <w:sz w:val="24"/>
          <w:szCs w:val="24"/>
        </w:rPr>
        <w:t>3566</w:t>
      </w:r>
      <w:bookmarkStart w:id="0" w:name="_GoBack"/>
      <w:bookmarkEnd w:id="0"/>
    </w:p>
    <w:p w14:paraId="2700B07E" w14:textId="59721092" w:rsidR="003175E3" w:rsidRPr="00C51EC1" w:rsidRDefault="007D70A7" w:rsidP="003175E3">
      <w:pPr>
        <w:pStyle w:val="Header"/>
        <w:rPr>
          <w:rFonts w:eastAsia="SimSun"/>
          <w:sz w:val="24"/>
          <w:szCs w:val="24"/>
          <w:lang w:eastAsia="zh-CN"/>
        </w:rPr>
      </w:pPr>
      <w:r>
        <w:rPr>
          <w:rFonts w:eastAsia="SimSun"/>
          <w:sz w:val="24"/>
          <w:szCs w:val="24"/>
          <w:lang w:eastAsia="zh-CN"/>
        </w:rPr>
        <w:t>Online,</w:t>
      </w:r>
      <w:r w:rsidR="00E42917">
        <w:rPr>
          <w:rFonts w:eastAsia="SimSun"/>
          <w:sz w:val="24"/>
          <w:szCs w:val="24"/>
          <w:lang w:eastAsia="zh-CN"/>
        </w:rPr>
        <w:t xml:space="preserve"> </w:t>
      </w:r>
      <w:r>
        <w:rPr>
          <w:rFonts w:eastAsia="SimSun"/>
          <w:sz w:val="24"/>
          <w:szCs w:val="24"/>
          <w:lang w:eastAsia="zh-CN"/>
        </w:rPr>
        <w:t>2</w:t>
      </w:r>
      <w:r w:rsidR="00C73F1E">
        <w:rPr>
          <w:rFonts w:eastAsia="SimSun"/>
          <w:sz w:val="24"/>
          <w:szCs w:val="24"/>
          <w:lang w:eastAsia="zh-CN"/>
        </w:rPr>
        <w:t>0</w:t>
      </w:r>
      <w:r>
        <w:rPr>
          <w:rFonts w:eastAsia="SimSun"/>
          <w:sz w:val="24"/>
          <w:szCs w:val="24"/>
          <w:lang w:eastAsia="zh-CN"/>
        </w:rPr>
        <w:t xml:space="preserve"> </w:t>
      </w:r>
      <w:r w:rsidR="00FB772D">
        <w:rPr>
          <w:rFonts w:eastAsia="SimSun"/>
          <w:sz w:val="24"/>
          <w:szCs w:val="24"/>
          <w:lang w:eastAsia="zh-CN"/>
        </w:rPr>
        <w:t xml:space="preserve">– 30 </w:t>
      </w:r>
      <w:r w:rsidR="00C73F1E">
        <w:rPr>
          <w:rFonts w:eastAsia="SimSun"/>
          <w:sz w:val="24"/>
          <w:szCs w:val="24"/>
          <w:lang w:eastAsia="zh-CN"/>
        </w:rPr>
        <w:t>April</w:t>
      </w:r>
      <w:r w:rsidR="00D47337">
        <w:rPr>
          <w:rFonts w:eastAsia="SimSun"/>
          <w:sz w:val="24"/>
          <w:szCs w:val="24"/>
          <w:lang w:eastAsia="zh-CN"/>
        </w:rPr>
        <w:t>,</w:t>
      </w:r>
      <w:r>
        <w:rPr>
          <w:rFonts w:eastAsia="SimSun"/>
          <w:sz w:val="24"/>
          <w:szCs w:val="24"/>
          <w:lang w:eastAsia="zh-CN"/>
        </w:rPr>
        <w:t xml:space="preserve"> </w:t>
      </w:r>
      <w:r w:rsidR="00773A18">
        <w:rPr>
          <w:rFonts w:eastAsia="SimSun"/>
          <w:sz w:val="24"/>
          <w:szCs w:val="24"/>
          <w:lang w:eastAsia="zh-CN"/>
        </w:rPr>
        <w:t>2020</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7A90F7BD"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3231255E"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E351E8">
        <w:rPr>
          <w:rFonts w:ascii="Arial" w:hAnsi="Arial"/>
          <w:sz w:val="24"/>
          <w:lang w:val="en-US"/>
        </w:rPr>
        <w:t>Remaining issues in RRM measurements on non-anchor carrier in NB-IoT</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6A1B73E8" w14:textId="08F1A098" w:rsidR="00832903" w:rsidRDefault="000978D5" w:rsidP="00832903">
      <w:pPr>
        <w:rPr>
          <w:lang w:val="en-US"/>
        </w:rPr>
      </w:pPr>
      <w:r>
        <w:rPr>
          <w:lang w:val="en-US"/>
        </w:rPr>
        <w:t>In RAN4#94-e meeting, the RRM measurement on non-anchor carrier was further discussed and the following was captured in the WF [1]:</w:t>
      </w:r>
    </w:p>
    <w:p w14:paraId="5A60A9CE" w14:textId="061B2A05" w:rsidR="001A072D" w:rsidRDefault="001A072D" w:rsidP="00832903">
      <w:pPr>
        <w:rPr>
          <w:lang w:val="en-US"/>
        </w:rPr>
      </w:pPr>
      <w:r w:rsidRPr="0074147F">
        <w:rPr>
          <w:noProof/>
          <w:lang w:val="en-US" w:eastAsia="zh-CN"/>
        </w:rPr>
        <mc:AlternateContent>
          <mc:Choice Requires="wps">
            <w:drawing>
              <wp:inline distT="0" distB="0" distL="0" distR="0" wp14:anchorId="797928CC" wp14:editId="10EA9593">
                <wp:extent cx="5881420" cy="2219325"/>
                <wp:effectExtent l="0" t="0" r="24130" b="2857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2219325"/>
                        </a:xfrm>
                        <a:prstGeom prst="rect">
                          <a:avLst/>
                        </a:prstGeom>
                        <a:solidFill>
                          <a:srgbClr val="FFFFFF"/>
                        </a:solidFill>
                        <a:ln w="9525">
                          <a:solidFill>
                            <a:srgbClr val="000000"/>
                          </a:solidFill>
                          <a:miter lim="800000"/>
                          <a:headEnd/>
                          <a:tailEnd/>
                        </a:ln>
                      </wps:spPr>
                      <wps:txbx>
                        <w:txbxContent>
                          <w:p w14:paraId="0A739D48" w14:textId="4BD887A0" w:rsidR="001A072D" w:rsidRDefault="0084460E" w:rsidP="001A072D">
                            <w:pPr>
                              <w:rPr>
                                <w:rFonts w:eastAsia="Batang"/>
                                <w:b/>
                                <w:lang w:eastAsia="zh-CN"/>
                              </w:rPr>
                            </w:pPr>
                            <w:r w:rsidRPr="0084460E">
                              <w:rPr>
                                <w:rFonts w:eastAsia="Batang"/>
                                <w:b/>
                                <w:lang w:eastAsia="zh-CN"/>
                              </w:rPr>
                              <w:t>Multi carrier operation non-anchor RRM</w:t>
                            </w:r>
                            <w:r w:rsidR="00B062C6">
                              <w:rPr>
                                <w:rFonts w:eastAsia="Batang"/>
                                <w:b/>
                                <w:lang w:eastAsia="zh-CN"/>
                              </w:rPr>
                              <w:t>:</w:t>
                            </w:r>
                          </w:p>
                          <w:p w14:paraId="7DF41075" w14:textId="77777777" w:rsidR="000978D5" w:rsidRPr="000978D5" w:rsidRDefault="000978D5" w:rsidP="000978D5">
                            <w:pPr>
                              <w:numPr>
                                <w:ilvl w:val="0"/>
                                <w:numId w:val="39"/>
                              </w:numPr>
                              <w:rPr>
                                <w:rFonts w:eastAsia="Batang"/>
                                <w:b/>
                                <w:lang w:val="en-US" w:eastAsia="zh-CN"/>
                              </w:rPr>
                            </w:pPr>
                            <w:r w:rsidRPr="000978D5">
                              <w:rPr>
                                <w:rFonts w:eastAsia="Batang"/>
                                <w:b/>
                                <w:lang w:eastAsia="zh-CN"/>
                              </w:rPr>
                              <w:t>Whether combining NRSRP samples between anchor carrier and non-anchor carriers are allowed, following two options are under consideration:</w:t>
                            </w:r>
                          </w:p>
                          <w:p w14:paraId="172848C0" w14:textId="77777777" w:rsidR="000978D5" w:rsidRPr="000978D5" w:rsidRDefault="000978D5" w:rsidP="000978D5">
                            <w:pPr>
                              <w:numPr>
                                <w:ilvl w:val="1"/>
                                <w:numId w:val="39"/>
                              </w:numPr>
                              <w:rPr>
                                <w:rFonts w:eastAsia="Batang"/>
                                <w:b/>
                                <w:lang w:val="en-US" w:eastAsia="zh-CN"/>
                              </w:rPr>
                            </w:pPr>
                            <w:r w:rsidRPr="000978D5">
                              <w:rPr>
                                <w:rFonts w:eastAsia="Batang"/>
                                <w:b/>
                                <w:lang w:val="en-US" w:eastAsia="zh-CN"/>
                              </w:rPr>
                              <w:t xml:space="preserve">Option 1: </w:t>
                            </w:r>
                            <w:r w:rsidRPr="000978D5">
                              <w:rPr>
                                <w:rFonts w:eastAsia="Batang"/>
                                <w:b/>
                                <w:lang w:eastAsia="zh-CN"/>
                              </w:rPr>
                              <w:t>NRSRP measurements on non-anchor carrier can be filtered or combined with NRSRP measurement on anchor carrier after translating the non-anchor carrier measurement with parameter nrs-PowerOffsetNonAnchor without any conditions or prerequisites.</w:t>
                            </w:r>
                          </w:p>
                          <w:p w14:paraId="7F7BA51E" w14:textId="77777777" w:rsidR="000978D5" w:rsidRPr="000978D5" w:rsidRDefault="000978D5" w:rsidP="000978D5">
                            <w:pPr>
                              <w:numPr>
                                <w:ilvl w:val="1"/>
                                <w:numId w:val="39"/>
                              </w:numPr>
                              <w:rPr>
                                <w:rFonts w:eastAsia="Batang"/>
                                <w:b/>
                                <w:lang w:val="en-US" w:eastAsia="zh-CN"/>
                              </w:rPr>
                            </w:pPr>
                            <w:r w:rsidRPr="000978D5">
                              <w:rPr>
                                <w:rFonts w:eastAsia="Batang"/>
                                <w:b/>
                                <w:lang w:eastAsia="zh-CN"/>
                              </w:rPr>
                              <w:t>Option 2: NRSRP measurements on non-anchor carrier can be filtered or combined with NRSRP measurement on anchor carrier after translating the non-anchor carrier measurement with parameter nrs-PowerOffsetNonAnchor with the condition is fulfilled, where the condition is FFS.</w:t>
                            </w:r>
                          </w:p>
                          <w:p w14:paraId="4CD7E70E" w14:textId="77777777" w:rsidR="000978D5" w:rsidRPr="009C5EB9" w:rsidRDefault="000978D5" w:rsidP="001A072D">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type w14:anchorId="797928CC" id="_x0000_t202" coordsize="21600,21600" o:spt="202" path="m,l,21600r21600,l21600,xe">
                <v:stroke joinstyle="miter"/>
                <v:path gradientshapeok="t" o:connecttype="rect"/>
              </v:shapetype>
              <v:shape id="Text Box 1" o:spid="_x0000_s1026" type="#_x0000_t202" style="width:463.1pt;height:17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">
                <v:textbox>
                  <w:txbxContent>
                    <w:p w14:paraId="0A739D48" w14:textId="4BD887A0" w:rsidR="001A072D" w:rsidRDefault="0084460E" w:rsidP="001A072D">
                      <w:pPr>
                        <w:rPr>
                          <w:rFonts w:eastAsia="Batang"/>
                          <w:b/>
                          <w:lang w:eastAsia="zh-CN"/>
                        </w:rPr>
                      </w:pPr>
                      <w:r w:rsidRPr="0084460E">
                        <w:rPr>
                          <w:rFonts w:eastAsia="Batang"/>
                          <w:b/>
                          <w:lang w:eastAsia="zh-CN"/>
                        </w:rPr>
                        <w:t>Multi carrier operation non-anchor RRM</w:t>
                      </w:r>
                      <w:r w:rsidR="00B062C6">
                        <w:rPr>
                          <w:rFonts w:eastAsia="Batang"/>
                          <w:b/>
                          <w:lang w:eastAsia="zh-CN"/>
                        </w:rPr>
                        <w:t>:</w:t>
                      </w:r>
                    </w:p>
                    <w:p w14:paraId="7DF41075" w14:textId="77777777" w:rsidR="000978D5" w:rsidRPr="000978D5" w:rsidRDefault="000978D5" w:rsidP="000978D5">
                      <w:pPr>
                        <w:numPr>
                          <w:ilvl w:val="0"/>
                          <w:numId w:val="39"/>
                        </w:numPr>
                        <w:rPr>
                          <w:rFonts w:eastAsia="Batang"/>
                          <w:b/>
                          <w:lang w:val="en-US" w:eastAsia="zh-CN"/>
                        </w:rPr>
                      </w:pPr>
                      <w:r w:rsidRPr="000978D5">
                        <w:rPr>
                          <w:rFonts w:eastAsia="Batang"/>
                          <w:b/>
                          <w:lang w:eastAsia="zh-CN"/>
                        </w:rPr>
                        <w:t>Whether combining NRSRP samples between anchor carrier and non-anchor carriers are allowed, following two options are under consideration:</w:t>
                      </w:r>
                    </w:p>
                    <w:p w14:paraId="172848C0" w14:textId="77777777" w:rsidR="000978D5" w:rsidRPr="000978D5" w:rsidRDefault="000978D5" w:rsidP="000978D5">
                      <w:pPr>
                        <w:numPr>
                          <w:ilvl w:val="1"/>
                          <w:numId w:val="39"/>
                        </w:numPr>
                        <w:rPr>
                          <w:rFonts w:eastAsia="Batang"/>
                          <w:b/>
                          <w:lang w:val="en-US" w:eastAsia="zh-CN"/>
                        </w:rPr>
                      </w:pPr>
                      <w:r w:rsidRPr="000978D5">
                        <w:rPr>
                          <w:rFonts w:eastAsia="Batang"/>
                          <w:b/>
                          <w:lang w:val="en-US" w:eastAsia="zh-CN"/>
                        </w:rPr>
                        <w:t xml:space="preserve">Option 1: </w:t>
                      </w:r>
                      <w:r w:rsidRPr="000978D5">
                        <w:rPr>
                          <w:rFonts w:eastAsia="Batang"/>
                          <w:b/>
                          <w:lang w:eastAsia="zh-CN"/>
                        </w:rPr>
                        <w:t>NRSRP measurements on non-anchor carrier can be filtered or combined with NRSRP measurement on anchor carrier after translating the non-anchor carrier measurement with parameter nrs-PowerOffsetNonAnchor without any conditions or prerequisites.</w:t>
                      </w:r>
                    </w:p>
                    <w:p w14:paraId="7F7BA51E" w14:textId="77777777" w:rsidR="000978D5" w:rsidRPr="000978D5" w:rsidRDefault="000978D5" w:rsidP="000978D5">
                      <w:pPr>
                        <w:numPr>
                          <w:ilvl w:val="1"/>
                          <w:numId w:val="39"/>
                        </w:numPr>
                        <w:rPr>
                          <w:rFonts w:eastAsia="Batang"/>
                          <w:b/>
                          <w:lang w:val="en-US" w:eastAsia="zh-CN"/>
                        </w:rPr>
                      </w:pPr>
                      <w:r w:rsidRPr="000978D5">
                        <w:rPr>
                          <w:rFonts w:eastAsia="Batang"/>
                          <w:b/>
                          <w:lang w:eastAsia="zh-CN"/>
                        </w:rPr>
                        <w:t>Option 2: NRSRP measurements on non-anchor carrier can be filtered or combined with NRSRP measurement on anchor carrier after translating the non-anchor carrier measurement with parameter nrs-PowerOffsetNonAnchor with the condition is fulfilled, where the condition is FFS.</w:t>
                      </w:r>
                    </w:p>
                    <w:p w14:paraId="4CD7E70E" w14:textId="77777777" w:rsidR="000978D5" w:rsidRPr="009C5EB9" w:rsidRDefault="000978D5" w:rsidP="001A072D">
                      <w:pPr>
                        <w:rPr>
                          <w:rFonts w:eastAsia="Batang"/>
                          <w:b/>
                          <w:lang w:eastAsia="zh-CN"/>
                        </w:rPr>
                      </w:pPr>
                    </w:p>
                  </w:txbxContent>
                </v:textbox>
                <w10:anchorlock/>
              </v:shape>
            </w:pict>
          </mc:Fallback>
        </mc:AlternateContent>
      </w:r>
    </w:p>
    <w:p w14:paraId="5B27B644" w14:textId="72CA6AAF" w:rsidR="00392073" w:rsidRPr="00832903" w:rsidRDefault="00392073" w:rsidP="00832903">
      <w:pPr>
        <w:rPr>
          <w:lang w:val="en-US"/>
        </w:rPr>
      </w:pPr>
      <w:r>
        <w:rPr>
          <w:lang w:val="en-US"/>
        </w:rPr>
        <w:t xml:space="preserve">No progress was achieved compared to RAN4#93 meeting. </w:t>
      </w:r>
      <w:r w:rsidR="009B0ED0">
        <w:rPr>
          <w:lang w:val="en-US"/>
        </w:rPr>
        <w:t>In this paper, we further elaborate on our view which is option 1 in the WF.</w:t>
      </w:r>
    </w:p>
    <w:p w14:paraId="530805C1" w14:textId="4783A358" w:rsidR="0005179F" w:rsidRDefault="00C85E54" w:rsidP="00C85E54">
      <w:pPr>
        <w:pStyle w:val="Heading1"/>
        <w:rPr>
          <w:lang w:val="en-US"/>
        </w:rPr>
      </w:pPr>
      <w:r>
        <w:rPr>
          <w:lang w:val="en-US"/>
        </w:rPr>
        <w:t>Discussion</w:t>
      </w:r>
    </w:p>
    <w:p w14:paraId="1E71A64F" w14:textId="77777777" w:rsidR="00351AE3" w:rsidRDefault="00351AE3" w:rsidP="00351AE3">
      <w:pPr>
        <w:rPr>
          <w:lang w:val="en-US"/>
        </w:rPr>
      </w:pPr>
      <w:r>
        <w:rPr>
          <w:lang w:val="en-US"/>
        </w:rPr>
        <w:t xml:space="preserve">Per previous agreements, only NRSRP can be measured in non-anchor carrier. The issue that has been raised is how the measurements from anchor and non-anchor carrier can be filtered together. This situation can occur if UE decides to drop back to anchor carrier for resynchronization or other purposes but still </w:t>
      </w:r>
      <w:proofErr w:type="gramStart"/>
      <w:r>
        <w:rPr>
          <w:lang w:val="en-US"/>
        </w:rPr>
        <w:t>has to</w:t>
      </w:r>
      <w:proofErr w:type="gramEnd"/>
      <w:r>
        <w:rPr>
          <w:lang w:val="en-US"/>
        </w:rPr>
        <w:t xml:space="preserve"> perform filtering of NRSRP measurements across DRX cycles (e.g., for serving cell evaluation). </w:t>
      </w:r>
    </w:p>
    <w:p w14:paraId="0905F207" w14:textId="77777777" w:rsidR="00351AE3" w:rsidRDefault="00351AE3" w:rsidP="00351AE3">
      <w:pPr>
        <w:rPr>
          <w:rFonts w:eastAsia="Batang"/>
          <w:lang w:val="en-US" w:eastAsia="zh-CN"/>
        </w:rPr>
      </w:pPr>
      <w:r>
        <w:rPr>
          <w:lang w:val="en-US"/>
        </w:rPr>
        <w:t xml:space="preserve">As agreed in last RAN4 meeting, the NRSRP measurement on the non-anchor carrier can be translated to its equivalent in anchor carrier via the parameter </w:t>
      </w:r>
      <w:r w:rsidRPr="00EA4094">
        <w:rPr>
          <w:rFonts w:eastAsia="Batang"/>
          <w:i/>
          <w:iCs/>
          <w:lang w:val="en-US" w:eastAsia="zh-CN"/>
        </w:rPr>
        <w:t>nrs-PowerOffsetNonAnchor</w:t>
      </w:r>
      <w:r>
        <w:rPr>
          <w:rFonts w:eastAsia="Batang"/>
          <w:i/>
          <w:iCs/>
          <w:lang w:val="en-US" w:eastAsia="zh-CN"/>
        </w:rPr>
        <w:t xml:space="preserve">. </w:t>
      </w:r>
      <w:r>
        <w:rPr>
          <w:rFonts w:eastAsia="Batang"/>
          <w:lang w:val="en-US" w:eastAsia="zh-CN"/>
        </w:rPr>
        <w:t>After this translation, both metrics (NRSRP from anchor and NRSRP from non-anchor) are in common domain and can be combined or filtered together. For example, assuming that filtering operation is simply an averaging function, then:</w:t>
      </w:r>
    </w:p>
    <w:p w14:paraId="4422BB67" w14:textId="77777777" w:rsidR="00351AE3" w:rsidRPr="00E072B0" w:rsidRDefault="00351AE3" w:rsidP="00351AE3">
      <w:pPr>
        <w:rPr>
          <w:rFonts w:eastAsia="Batang"/>
          <w:lang w:val="en-US"/>
        </w:rPr>
      </w:pPr>
      <m:oMathPara>
        <m:oMath>
          <m:r>
            <w:rPr>
              <w:rFonts w:ascii="Cambria Math" w:hAnsi="Cambria Math"/>
              <w:lang w:val="en-US"/>
            </w:rPr>
            <m:t>NRSR</m:t>
          </m:r>
          <m:sSup>
            <m:sSupPr>
              <m:ctrlPr>
                <w:rPr>
                  <w:rFonts w:ascii="Cambria Math" w:hAnsi="Cambria Math"/>
                  <w:i/>
                  <w:lang w:val="en-US"/>
                </w:rPr>
              </m:ctrlPr>
            </m:sSupPr>
            <m:e>
              <m:r>
                <w:rPr>
                  <w:rFonts w:ascii="Cambria Math" w:hAnsi="Cambria Math"/>
                  <w:lang w:val="en-US"/>
                </w:rPr>
                <m:t>P</m:t>
              </m:r>
            </m:e>
            <m:sup>
              <m:r>
                <w:rPr>
                  <w:rFonts w:ascii="Cambria Math" w:hAnsi="Cambria Math"/>
                  <w:lang w:val="en-US"/>
                </w:rPr>
                <m:t>'</m:t>
              </m:r>
            </m:sup>
          </m:sSup>
          <m:r>
            <w:rPr>
              <w:rFonts w:ascii="Cambria Math" w:hAnsi="Cambria Math"/>
              <w:lang w:val="en-US"/>
            </w:rPr>
            <m:t>=NRSR</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non-anchor</m:t>
              </m:r>
            </m:sub>
          </m:sSub>
          <m:r>
            <w:rPr>
              <w:rFonts w:ascii="Cambria Math" w:hAnsi="Cambria Math"/>
              <w:lang w:val="en-US"/>
            </w:rPr>
            <m:t>.</m:t>
          </m:r>
          <m:d>
            <m:dPr>
              <m:ctrlPr>
                <w:rPr>
                  <w:rFonts w:ascii="Cambria Math" w:hAnsi="Cambria Math"/>
                  <w:i/>
                  <w:lang w:val="en-US"/>
                </w:rPr>
              </m:ctrlPr>
            </m:dPr>
            <m:e>
              <m:r>
                <w:rPr>
                  <w:rFonts w:ascii="Cambria Math" w:hAnsi="Cambria Math"/>
                  <w:lang w:val="en-US"/>
                </w:rPr>
                <m:t>nrsPowerOffsetNonAnchor</m:t>
              </m:r>
            </m:e>
          </m:d>
        </m:oMath>
      </m:oMathPara>
    </w:p>
    <w:p w14:paraId="037C357D" w14:textId="77777777" w:rsidR="00351AE3" w:rsidRPr="00823D32" w:rsidRDefault="002D5077" w:rsidP="00351AE3">
      <w:pPr>
        <w:rPr>
          <w:rFonts w:eastAsia="Batang"/>
          <w:lang w:val="en-US"/>
        </w:rPr>
      </w:pPr>
      <m:oMathPara>
        <m:oMath>
          <m:acc>
            <m:accPr>
              <m:chr m:val="̅"/>
              <m:ctrlPr>
                <w:rPr>
                  <w:rFonts w:ascii="Cambria Math" w:eastAsia="Batang" w:hAnsi="Cambria Math"/>
                  <w:i/>
                  <w:lang w:val="en-US"/>
                </w:rPr>
              </m:ctrlPr>
            </m:accPr>
            <m:e>
              <m:r>
                <w:rPr>
                  <w:rFonts w:ascii="Cambria Math" w:eastAsia="Batang" w:hAnsi="Cambria Math"/>
                  <w:lang w:val="en-US"/>
                </w:rPr>
                <m:t>NRSRP</m:t>
              </m:r>
            </m:e>
          </m:acc>
          <m:r>
            <w:rPr>
              <w:rFonts w:ascii="Cambria Math" w:eastAsia="Batang" w:hAnsi="Cambria Math"/>
              <w:lang w:val="en-US"/>
            </w:rPr>
            <m:t>=0.5</m:t>
          </m:r>
          <m:d>
            <m:dPr>
              <m:ctrlPr>
                <w:rPr>
                  <w:rFonts w:ascii="Cambria Math" w:eastAsia="Batang" w:hAnsi="Cambria Math"/>
                  <w:i/>
                  <w:lang w:val="en-US"/>
                </w:rPr>
              </m:ctrlPr>
            </m:dPr>
            <m:e>
              <m:r>
                <w:rPr>
                  <w:rFonts w:ascii="Cambria Math" w:eastAsia="Batang" w:hAnsi="Cambria Math"/>
                  <w:lang w:val="en-US"/>
                </w:rPr>
                <m:t>NRSR</m:t>
              </m:r>
              <m:sSup>
                <m:sSupPr>
                  <m:ctrlPr>
                    <w:rPr>
                      <w:rFonts w:ascii="Cambria Math" w:eastAsia="Batang" w:hAnsi="Cambria Math"/>
                      <w:i/>
                      <w:lang w:val="en-US"/>
                    </w:rPr>
                  </m:ctrlPr>
                </m:sSupPr>
                <m:e>
                  <m:r>
                    <w:rPr>
                      <w:rFonts w:ascii="Cambria Math" w:eastAsia="Batang" w:hAnsi="Cambria Math"/>
                      <w:lang w:val="en-US"/>
                    </w:rPr>
                    <m:t>P</m:t>
                  </m:r>
                </m:e>
                <m:sup>
                  <m:r>
                    <w:rPr>
                      <w:rFonts w:ascii="Cambria Math" w:eastAsia="Batang" w:hAnsi="Cambria Math"/>
                      <w:lang w:val="en-US"/>
                    </w:rPr>
                    <m:t>'</m:t>
                  </m:r>
                </m:sup>
              </m:sSup>
              <m:r>
                <w:rPr>
                  <w:rFonts w:ascii="Cambria Math" w:eastAsia="Batang" w:hAnsi="Cambria Math"/>
                  <w:lang w:val="en-US"/>
                </w:rPr>
                <m:t>+NRSR</m:t>
              </m:r>
              <m:sSub>
                <m:sSubPr>
                  <m:ctrlPr>
                    <w:rPr>
                      <w:rFonts w:ascii="Cambria Math" w:eastAsia="Batang" w:hAnsi="Cambria Math"/>
                      <w:i/>
                      <w:lang w:val="en-US"/>
                    </w:rPr>
                  </m:ctrlPr>
                </m:sSubPr>
                <m:e>
                  <m:r>
                    <w:rPr>
                      <w:rFonts w:ascii="Cambria Math" w:eastAsia="Batang" w:hAnsi="Cambria Math"/>
                      <w:lang w:val="en-US"/>
                    </w:rPr>
                    <m:t>P</m:t>
                  </m:r>
                </m:e>
                <m:sub>
                  <m:r>
                    <w:rPr>
                      <w:rFonts w:ascii="Cambria Math" w:eastAsia="Batang" w:hAnsi="Cambria Math"/>
                      <w:lang w:val="en-US"/>
                    </w:rPr>
                    <m:t>anchor</m:t>
                  </m:r>
                </m:sub>
              </m:sSub>
            </m:e>
          </m:d>
        </m:oMath>
      </m:oMathPara>
    </w:p>
    <w:p w14:paraId="00046837" w14:textId="77777777" w:rsidR="000B66B7" w:rsidRDefault="00DD172E" w:rsidP="00351AE3">
      <w:pPr>
        <w:rPr>
          <w:rFonts w:eastAsia="Batang"/>
          <w:lang w:val="en-US"/>
        </w:rPr>
      </w:pPr>
      <w:r>
        <w:rPr>
          <w:rFonts w:eastAsia="Batang"/>
          <w:lang w:val="en-US"/>
        </w:rPr>
        <w:t>T</w:t>
      </w:r>
      <w:r w:rsidR="00351AE3">
        <w:rPr>
          <w:rFonts w:eastAsia="Batang"/>
          <w:lang w:val="en-US"/>
        </w:rPr>
        <w:t xml:space="preserve">he power offset between anchor and non-anchor carrier are already quantized to discrete values in {-12, -10, -8, -6, -4, -2, 0, 3} dB values. After translation, the measurements from both anchor and non-anchor carriers will be on the same scale and can therefore be combined without any other prerequisites. </w:t>
      </w:r>
    </w:p>
    <w:p w14:paraId="6FFFF610" w14:textId="4AC20D70" w:rsidR="00A4315A" w:rsidRDefault="00351AE3" w:rsidP="00351AE3">
      <w:pPr>
        <w:rPr>
          <w:rFonts w:eastAsia="Batang"/>
          <w:lang w:val="en-US"/>
        </w:rPr>
      </w:pPr>
      <w:r>
        <w:rPr>
          <w:rFonts w:eastAsia="Batang"/>
          <w:lang w:val="en-US"/>
        </w:rPr>
        <w:t>It was argued in the last RAN4 meeting</w:t>
      </w:r>
      <w:r w:rsidR="00DE2FBF">
        <w:rPr>
          <w:rFonts w:eastAsia="Batang"/>
          <w:lang w:val="en-US"/>
        </w:rPr>
        <w:t>s</w:t>
      </w:r>
      <w:r>
        <w:rPr>
          <w:rFonts w:eastAsia="Batang"/>
          <w:lang w:val="en-US"/>
        </w:rPr>
        <w:t xml:space="preserve"> that different fading characteristics</w:t>
      </w:r>
      <w:r w:rsidR="00794420">
        <w:rPr>
          <w:rFonts w:eastAsia="Batang"/>
          <w:lang w:val="en-US"/>
        </w:rPr>
        <w:t xml:space="preserve"> or loading/interference level</w:t>
      </w:r>
      <w:r>
        <w:rPr>
          <w:rFonts w:eastAsia="Batang"/>
          <w:lang w:val="en-US"/>
        </w:rPr>
        <w:t xml:space="preserve"> on non-anchor and anchor carriers can impact the power imbalance between the two carriers and degrade the quality of the </w:t>
      </w:r>
      <w:r>
        <w:rPr>
          <w:rFonts w:eastAsia="Batang"/>
          <w:lang w:val="en-US"/>
        </w:rPr>
        <w:lastRenderedPageBreak/>
        <w:t xml:space="preserve">combined measurement. It is noted, however, that such fluctuations due to channel conditions can also happen in anchor-carrier measurements when the two measurements to be combined can have a large time lapse between them in longer DRX cycles. </w:t>
      </w:r>
      <w:r w:rsidR="004D228E">
        <w:rPr>
          <w:rFonts w:eastAsia="Batang"/>
          <w:lang w:val="en-US"/>
        </w:rPr>
        <w:t xml:space="preserve">Per the existing specification, the </w:t>
      </w:r>
      <w:r w:rsidR="00575B3D">
        <w:rPr>
          <w:rFonts w:eastAsia="Batang"/>
          <w:lang w:val="en-US"/>
        </w:rPr>
        <w:t xml:space="preserve">time-domain filtering is </w:t>
      </w:r>
      <w:r w:rsidR="006602BC">
        <w:rPr>
          <w:rFonts w:eastAsia="Batang"/>
          <w:lang w:val="en-US"/>
        </w:rPr>
        <w:t xml:space="preserve">allowed and even required </w:t>
      </w:r>
      <w:r w:rsidR="00034F6B">
        <w:rPr>
          <w:rFonts w:eastAsia="Batang"/>
          <w:lang w:val="en-US"/>
        </w:rPr>
        <w:t>to average out the channel fading impact on the measurement. Hence, time-</w:t>
      </w:r>
      <w:r w:rsidR="00867F99">
        <w:rPr>
          <w:rFonts w:eastAsia="Batang"/>
          <w:lang w:val="en-US"/>
        </w:rPr>
        <w:t xml:space="preserve">diversity </w:t>
      </w:r>
      <w:r w:rsidR="00652B6B">
        <w:rPr>
          <w:rFonts w:eastAsia="Batang"/>
          <w:lang w:val="en-US"/>
        </w:rPr>
        <w:t xml:space="preserve">does not </w:t>
      </w:r>
      <w:r w:rsidR="00F83C5B">
        <w:rPr>
          <w:rFonts w:eastAsia="Batang"/>
          <w:lang w:val="en-US"/>
        </w:rPr>
        <w:t>pose a problem. From TS 36.133:</w:t>
      </w:r>
    </w:p>
    <w:p w14:paraId="6AED4DFC" w14:textId="7DB6ABC5" w:rsidR="00F83C5B" w:rsidRDefault="00F83C5B" w:rsidP="00351AE3">
      <w:pPr>
        <w:rPr>
          <w:rFonts w:eastAsia="Batang"/>
          <w:lang w:val="en-US"/>
        </w:rPr>
      </w:pPr>
      <w:r w:rsidRPr="0074147F">
        <w:rPr>
          <w:noProof/>
          <w:lang w:val="en-US" w:eastAsia="zh-CN"/>
        </w:rPr>
        <mc:AlternateContent>
          <mc:Choice Requires="wps">
            <w:drawing>
              <wp:inline distT="0" distB="0" distL="0" distR="0" wp14:anchorId="63E88E70" wp14:editId="5167083C">
                <wp:extent cx="5881420" cy="666750"/>
                <wp:effectExtent l="0" t="0" r="24130" b="190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666750"/>
                        </a:xfrm>
                        <a:prstGeom prst="rect">
                          <a:avLst/>
                        </a:prstGeom>
                        <a:solidFill>
                          <a:srgbClr val="FFFFFF"/>
                        </a:solidFill>
                        <a:ln w="9525">
                          <a:solidFill>
                            <a:srgbClr val="000000"/>
                          </a:solidFill>
                          <a:miter lim="800000"/>
                          <a:headEnd/>
                          <a:tailEnd/>
                        </a:ln>
                      </wps:spPr>
                      <wps:txbx>
                        <w:txbxContent>
                          <w:p w14:paraId="03B91035" w14:textId="698FE587" w:rsidR="00F83C5B" w:rsidRPr="009C5EB9" w:rsidRDefault="00642635" w:rsidP="00F83C5B">
                            <w:pPr>
                              <w:rPr>
                                <w:rFonts w:eastAsia="Batang"/>
                                <w:b/>
                                <w:lang w:eastAsia="zh-CN"/>
                              </w:rPr>
                            </w:pPr>
                            <w:r>
                              <w:t>The UE shall filter the NRSRP and NRSRQ measurements of the NB-IoT serving cell using at least 2 measurements. Within the set of measurements used for the filtering, at least two measurements shall be spaced by, at least DRX cycle/2.</w:t>
                            </w:r>
                          </w:p>
                        </w:txbxContent>
                      </wps:txbx>
                      <wps:bodyPr rot="0" vert="horz" wrap="square" lIns="91440" tIns="45720" rIns="91440" bIns="45720" anchor="t" anchorCtr="0">
                        <a:noAutofit/>
                      </wps:bodyPr>
                    </wps:wsp>
                  </a:graphicData>
                </a:graphic>
              </wp:inline>
            </w:drawing>
          </mc:Choice>
          <mc:Fallback>
            <w:pict>
              <v:shape w14:anchorId="63E88E70" id="Text Box 2" o:spid="_x0000_s1027" type="#_x0000_t202" style="width:463.1pt;height: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">
                <v:textbox>
                  <w:txbxContent>
                    <w:p w14:paraId="03B91035" w14:textId="698FE587" w:rsidR="00F83C5B" w:rsidRPr="009C5EB9" w:rsidRDefault="00642635" w:rsidP="00F83C5B">
                      <w:pPr>
                        <w:rPr>
                          <w:rFonts w:eastAsia="Batang"/>
                          <w:b/>
                          <w:lang w:eastAsia="zh-CN"/>
                        </w:rPr>
                      </w:pPr>
                      <w:r>
                        <w:t>The UE shall filter the NRSRP and NRSRQ measurements of the NB-IoT serving cell using at least 2 measurements. Within the set of measurements used for the filtering, at least two measurements shall be spaced by, at least DRX cycle/2.</w:t>
                      </w:r>
                    </w:p>
                  </w:txbxContent>
                </v:textbox>
                <w10:anchorlock/>
              </v:shape>
            </w:pict>
          </mc:Fallback>
        </mc:AlternateContent>
      </w:r>
    </w:p>
    <w:p w14:paraId="4C6A6892" w14:textId="53CF6378" w:rsidR="00534AB6" w:rsidRPr="00565254" w:rsidRDefault="00534AB6" w:rsidP="00351AE3">
      <w:pPr>
        <w:rPr>
          <w:rFonts w:eastAsia="Batang"/>
          <w:b/>
          <w:bCs/>
          <w:lang w:val="en-US"/>
        </w:rPr>
      </w:pPr>
      <w:r w:rsidRPr="00565254">
        <w:rPr>
          <w:rFonts w:eastAsia="Batang"/>
          <w:b/>
          <w:bCs/>
          <w:lang w:val="en-US"/>
        </w:rPr>
        <w:t xml:space="preserve">Observation 1. Current specification mandates UE to filter NRSRP measurements </w:t>
      </w:r>
      <w:r w:rsidR="00545FA3" w:rsidRPr="00565254">
        <w:rPr>
          <w:rFonts w:eastAsia="Batang"/>
          <w:b/>
          <w:bCs/>
          <w:lang w:val="en-US"/>
        </w:rPr>
        <w:t xml:space="preserve">across DRX cycles, i.e., </w:t>
      </w:r>
      <w:r w:rsidR="007F2BF7" w:rsidRPr="00565254">
        <w:rPr>
          <w:rFonts w:eastAsia="Batang"/>
          <w:b/>
          <w:bCs/>
          <w:lang w:val="en-US"/>
        </w:rPr>
        <w:t xml:space="preserve">time-domain channel variation </w:t>
      </w:r>
      <w:r w:rsidR="00910C3E" w:rsidRPr="00565254">
        <w:rPr>
          <w:rFonts w:eastAsia="Batang"/>
          <w:b/>
          <w:bCs/>
          <w:lang w:val="en-US"/>
        </w:rPr>
        <w:t xml:space="preserve">does not </w:t>
      </w:r>
      <w:r w:rsidR="007F6EE0" w:rsidRPr="00565254">
        <w:rPr>
          <w:rFonts w:eastAsia="Batang"/>
          <w:b/>
          <w:bCs/>
          <w:lang w:val="en-US"/>
        </w:rPr>
        <w:t xml:space="preserve">prevent UE </w:t>
      </w:r>
      <w:r w:rsidR="00C74BBC" w:rsidRPr="00565254">
        <w:rPr>
          <w:rFonts w:eastAsia="Batang"/>
          <w:b/>
          <w:bCs/>
          <w:lang w:val="en-US"/>
        </w:rPr>
        <w:t xml:space="preserve">from </w:t>
      </w:r>
      <w:r w:rsidR="00A04DF3" w:rsidRPr="00565254">
        <w:rPr>
          <w:rFonts w:eastAsia="Batang"/>
          <w:b/>
          <w:bCs/>
          <w:lang w:val="en-US"/>
        </w:rPr>
        <w:t xml:space="preserve">filtering NRSRP measurements </w:t>
      </w:r>
      <w:r w:rsidR="00C4538D" w:rsidRPr="00565254">
        <w:rPr>
          <w:rFonts w:eastAsia="Batang"/>
          <w:b/>
          <w:bCs/>
          <w:lang w:val="en-US"/>
        </w:rPr>
        <w:t xml:space="preserve">and no specific condition to allow filtering </w:t>
      </w:r>
      <w:r w:rsidR="00565254" w:rsidRPr="00565254">
        <w:rPr>
          <w:rFonts w:eastAsia="Batang"/>
          <w:b/>
          <w:bCs/>
          <w:lang w:val="en-US"/>
        </w:rPr>
        <w:t xml:space="preserve">exists. </w:t>
      </w:r>
    </w:p>
    <w:p w14:paraId="2C2BCD06" w14:textId="51D308F1" w:rsidR="00A4315A" w:rsidRDefault="001F7A61" w:rsidP="00351AE3">
      <w:pPr>
        <w:rPr>
          <w:rFonts w:eastAsia="Batang"/>
          <w:lang w:val="en-US"/>
        </w:rPr>
      </w:pPr>
      <w:r>
        <w:rPr>
          <w:rFonts w:eastAsia="Batang"/>
          <w:lang w:val="en-US"/>
        </w:rPr>
        <w:t>In our view, there is no reason to distinguish between frequency</w:t>
      </w:r>
      <w:r w:rsidR="000D0EAC">
        <w:rPr>
          <w:rFonts w:eastAsia="Batang"/>
          <w:lang w:val="en-US"/>
        </w:rPr>
        <w:t xml:space="preserve">-diversity and time-diversity </w:t>
      </w:r>
      <w:r w:rsidR="000E3BC2">
        <w:rPr>
          <w:rFonts w:eastAsia="Batang"/>
          <w:lang w:val="en-US"/>
        </w:rPr>
        <w:t xml:space="preserve">in combining/filtering NRSRP results. </w:t>
      </w:r>
      <w:r w:rsidR="001D4B43">
        <w:rPr>
          <w:rFonts w:eastAsia="Batang"/>
          <w:lang w:val="en-US"/>
        </w:rPr>
        <w:t xml:space="preserve">The proponents of option 2 </w:t>
      </w:r>
      <w:r w:rsidR="002006B9">
        <w:rPr>
          <w:rFonts w:eastAsia="Batang"/>
          <w:lang w:val="en-US"/>
        </w:rPr>
        <w:t xml:space="preserve">suggest imposing a threshold of X dB such that </w:t>
      </w:r>
      <w:r w:rsidR="00640EE1">
        <w:rPr>
          <w:rFonts w:eastAsia="Batang"/>
          <w:lang w:val="en-US"/>
        </w:rPr>
        <w:t xml:space="preserve">only </w:t>
      </w:r>
      <w:r w:rsidR="002006B9">
        <w:rPr>
          <w:rFonts w:eastAsia="Batang"/>
          <w:lang w:val="en-US"/>
        </w:rPr>
        <w:t xml:space="preserve">if </w:t>
      </w:r>
      <w:r w:rsidR="000750E4">
        <w:rPr>
          <w:rFonts w:eastAsia="Batang"/>
          <w:lang w:val="en-US"/>
        </w:rPr>
        <w:t xml:space="preserve">a measurement from anchor carrier and </w:t>
      </w:r>
      <w:r w:rsidR="00C82398">
        <w:rPr>
          <w:rFonts w:eastAsia="Batang"/>
          <w:lang w:val="en-US"/>
        </w:rPr>
        <w:t>another measurement from non-anchor carrier are within X dB</w:t>
      </w:r>
      <w:r w:rsidR="003F1AA5">
        <w:rPr>
          <w:rFonts w:eastAsia="Batang"/>
          <w:lang w:val="en-US"/>
        </w:rPr>
        <w:t xml:space="preserve"> after translation via </w:t>
      </w:r>
      <w:r w:rsidR="00B2201F" w:rsidRPr="00EA4094">
        <w:rPr>
          <w:rFonts w:eastAsia="Batang"/>
          <w:i/>
          <w:iCs/>
          <w:lang w:val="en-US" w:eastAsia="zh-CN"/>
        </w:rPr>
        <w:t>nrs-PowerOffsetNonAnchor</w:t>
      </w:r>
      <w:r w:rsidR="00C82398">
        <w:rPr>
          <w:rFonts w:eastAsia="Batang"/>
          <w:lang w:val="en-US"/>
        </w:rPr>
        <w:t xml:space="preserve">, combining/filtering of them </w:t>
      </w:r>
      <w:r w:rsidR="00640EE1">
        <w:rPr>
          <w:rFonts w:eastAsia="Batang"/>
          <w:lang w:val="en-US"/>
        </w:rPr>
        <w:t xml:space="preserve">would be allowed. </w:t>
      </w:r>
      <w:r w:rsidR="00B238DE">
        <w:rPr>
          <w:rFonts w:eastAsia="Batang"/>
          <w:lang w:val="en-US"/>
        </w:rPr>
        <w:t xml:space="preserve">This is an unnecessary </w:t>
      </w:r>
      <w:r w:rsidR="00112C74">
        <w:rPr>
          <w:rFonts w:eastAsia="Batang"/>
          <w:lang w:val="en-US"/>
        </w:rPr>
        <w:t>new UE behavior which differentiates fre</w:t>
      </w:r>
      <w:r w:rsidR="00F77948">
        <w:rPr>
          <w:rFonts w:eastAsia="Batang"/>
          <w:lang w:val="en-US"/>
        </w:rPr>
        <w:t>quency domain variation from time domain variation</w:t>
      </w:r>
      <w:r w:rsidR="003211EF">
        <w:rPr>
          <w:rFonts w:eastAsia="Batang"/>
          <w:lang w:val="en-US"/>
        </w:rPr>
        <w:t>.</w:t>
      </w:r>
    </w:p>
    <w:p w14:paraId="280AEE01" w14:textId="69DC5A8F" w:rsidR="00073476" w:rsidRDefault="00073476" w:rsidP="00351AE3">
      <w:pPr>
        <w:rPr>
          <w:rFonts w:eastAsia="Batang"/>
          <w:lang w:val="en-US"/>
        </w:rPr>
      </w:pPr>
      <w:r>
        <w:rPr>
          <w:rFonts w:eastAsia="Batang"/>
          <w:lang w:val="en-US"/>
        </w:rPr>
        <w:t xml:space="preserve">Furthermore, </w:t>
      </w:r>
      <w:r w:rsidR="00E91495">
        <w:rPr>
          <w:rFonts w:eastAsia="Batang"/>
          <w:lang w:val="en-US"/>
        </w:rPr>
        <w:t>it</w:t>
      </w:r>
      <w:r w:rsidR="008C7B58">
        <w:rPr>
          <w:rFonts w:eastAsia="Batang"/>
          <w:lang w:val="en-US"/>
        </w:rPr>
        <w:t xml:space="preserve"> is straightforward to </w:t>
      </w:r>
      <w:r w:rsidR="00E91495">
        <w:rPr>
          <w:rFonts w:eastAsia="Batang"/>
          <w:lang w:val="en-US"/>
        </w:rPr>
        <w:t xml:space="preserve">show that such condition is impractical. </w:t>
      </w:r>
      <w:r w:rsidR="007F2AB6">
        <w:rPr>
          <w:rFonts w:eastAsia="Batang"/>
          <w:lang w:val="en-US"/>
        </w:rPr>
        <w:t xml:space="preserve">Fading channel </w:t>
      </w:r>
      <w:r w:rsidR="00100CA9">
        <w:rPr>
          <w:rFonts w:eastAsia="Batang"/>
          <w:lang w:val="en-US"/>
        </w:rPr>
        <w:t xml:space="preserve">variation of at least 6 dB between samples taken in different time instances is </w:t>
      </w:r>
      <w:r w:rsidR="00987EC4">
        <w:rPr>
          <w:rFonts w:eastAsia="Batang"/>
          <w:lang w:val="en-US"/>
        </w:rPr>
        <w:t xml:space="preserve">a typical assumption. Hence, two </w:t>
      </w:r>
      <w:r w:rsidR="008904DF">
        <w:rPr>
          <w:rFonts w:eastAsia="Batang"/>
          <w:lang w:val="en-US"/>
        </w:rPr>
        <w:t xml:space="preserve">samples from two DRX cycles can be </w:t>
      </w:r>
      <w:r w:rsidR="006E7D67">
        <w:rPr>
          <w:rFonts w:eastAsia="Batang"/>
          <w:lang w:val="en-US"/>
        </w:rPr>
        <w:t xml:space="preserve">6 dB apart particularly for longer DRX cycles (e.g., 10.24 s). </w:t>
      </w:r>
      <w:r w:rsidR="00E51E27">
        <w:rPr>
          <w:rFonts w:eastAsia="Batang"/>
          <w:lang w:val="en-US"/>
        </w:rPr>
        <w:t>On top of this, NRSRP estimation accuracy is +/- 6 dB</w:t>
      </w:r>
      <w:r w:rsidR="00E73D67">
        <w:rPr>
          <w:rFonts w:eastAsia="Batang"/>
          <w:lang w:val="en-US"/>
        </w:rPr>
        <w:t xml:space="preserve"> for normal coverage and +/- 10.3 dB for e</w:t>
      </w:r>
      <w:r w:rsidR="00037C26">
        <w:rPr>
          <w:rFonts w:eastAsia="Batang"/>
          <w:lang w:val="en-US"/>
        </w:rPr>
        <w:t xml:space="preserve">nhanced coverage. </w:t>
      </w:r>
      <w:r w:rsidR="00BD2BB8">
        <w:rPr>
          <w:rFonts w:eastAsia="Batang"/>
          <w:lang w:val="en-US"/>
        </w:rPr>
        <w:t xml:space="preserve">Considering the combined effect of fading and estimation (in)accuracy, </w:t>
      </w:r>
      <w:proofErr w:type="gramStart"/>
      <w:r w:rsidR="00B37BBC">
        <w:rPr>
          <w:rFonts w:eastAsia="Batang"/>
          <w:lang w:val="en-US"/>
        </w:rPr>
        <w:t>it can be seen that two</w:t>
      </w:r>
      <w:proofErr w:type="gramEnd"/>
      <w:r w:rsidR="00B37BBC">
        <w:rPr>
          <w:rFonts w:eastAsia="Batang"/>
          <w:lang w:val="en-US"/>
        </w:rPr>
        <w:t xml:space="preserve"> samples from two DRX cycles can be </w:t>
      </w:r>
      <w:r w:rsidR="00582616">
        <w:rPr>
          <w:rFonts w:eastAsia="Batang"/>
          <w:lang w:val="en-US"/>
        </w:rPr>
        <w:t xml:space="preserve">6 </w:t>
      </w:r>
      <w:r w:rsidR="000874C0">
        <w:rPr>
          <w:rFonts w:eastAsia="Batang"/>
          <w:lang w:val="en-US"/>
        </w:rPr>
        <w:t xml:space="preserve">dB </w:t>
      </w:r>
      <w:r w:rsidR="002C2289">
        <w:rPr>
          <w:rFonts w:eastAsia="Batang"/>
          <w:lang w:val="en-US"/>
        </w:rPr>
        <w:t>(fading) + 12</w:t>
      </w:r>
      <w:r w:rsidR="000874C0">
        <w:rPr>
          <w:rFonts w:eastAsia="Batang"/>
          <w:lang w:val="en-US"/>
        </w:rPr>
        <w:t xml:space="preserve"> dB (estimation error) = 18 dB apart in normal coverage and </w:t>
      </w:r>
      <w:r w:rsidR="00D2535F">
        <w:rPr>
          <w:rFonts w:eastAsia="Batang"/>
          <w:lang w:val="en-US"/>
        </w:rPr>
        <w:t xml:space="preserve">26.6 dB apart in enhanced coverage. Yet, with such massive </w:t>
      </w:r>
      <w:r w:rsidR="00D71B2A">
        <w:rPr>
          <w:rFonts w:eastAsia="Batang"/>
          <w:lang w:val="en-US"/>
        </w:rPr>
        <w:t xml:space="preserve">margins of separation between two successive </w:t>
      </w:r>
      <w:r w:rsidR="00C97940">
        <w:rPr>
          <w:rFonts w:eastAsia="Batang"/>
          <w:lang w:val="en-US"/>
        </w:rPr>
        <w:t xml:space="preserve">samples, no condition in the specification exist on how and when UE </w:t>
      </w:r>
      <w:proofErr w:type="gramStart"/>
      <w:r w:rsidR="00C97940">
        <w:rPr>
          <w:rFonts w:eastAsia="Batang"/>
          <w:lang w:val="en-US"/>
        </w:rPr>
        <w:t>is allowed to</w:t>
      </w:r>
      <w:proofErr w:type="gramEnd"/>
      <w:r w:rsidR="00C97940">
        <w:rPr>
          <w:rFonts w:eastAsia="Batang"/>
          <w:lang w:val="en-US"/>
        </w:rPr>
        <w:t xml:space="preserve"> </w:t>
      </w:r>
      <w:r w:rsidR="003F77C9">
        <w:rPr>
          <w:rFonts w:eastAsia="Batang"/>
          <w:lang w:val="en-US"/>
        </w:rPr>
        <w:t>filter/combine measurements across DRX cycles</w:t>
      </w:r>
      <w:r w:rsidR="00745097">
        <w:rPr>
          <w:rFonts w:eastAsia="Batang"/>
          <w:lang w:val="en-US"/>
        </w:rPr>
        <w:t xml:space="preserve"> in anchor carrier</w:t>
      </w:r>
      <w:r w:rsidR="003F77C9">
        <w:rPr>
          <w:rFonts w:eastAsia="Batang"/>
          <w:lang w:val="en-US"/>
        </w:rPr>
        <w:t xml:space="preserve">. </w:t>
      </w:r>
    </w:p>
    <w:p w14:paraId="14E4F3F2" w14:textId="458B0879" w:rsidR="00F244D1" w:rsidRDefault="00F244D1" w:rsidP="00351AE3">
      <w:pPr>
        <w:rPr>
          <w:rFonts w:eastAsia="Batang"/>
          <w:b/>
          <w:bCs/>
          <w:lang w:val="en-US"/>
        </w:rPr>
      </w:pPr>
      <w:r w:rsidRPr="00B47F26">
        <w:rPr>
          <w:rFonts w:eastAsia="Batang"/>
          <w:b/>
          <w:bCs/>
          <w:lang w:val="en-US"/>
        </w:rPr>
        <w:t xml:space="preserve">Observation 2. </w:t>
      </w:r>
      <w:r w:rsidR="00A01384" w:rsidRPr="00B47F26">
        <w:rPr>
          <w:rFonts w:eastAsia="Batang"/>
          <w:b/>
          <w:bCs/>
          <w:lang w:val="en-US"/>
        </w:rPr>
        <w:t>Considering the combined effect of fading and NRSRP estimation accuracy</w:t>
      </w:r>
      <w:r w:rsidR="00F0266E" w:rsidRPr="00B47F26">
        <w:rPr>
          <w:rFonts w:eastAsia="Batang"/>
          <w:b/>
          <w:bCs/>
          <w:lang w:val="en-US"/>
        </w:rPr>
        <w:t>,</w:t>
      </w:r>
      <w:r w:rsidR="00083617" w:rsidRPr="00B47F26">
        <w:rPr>
          <w:rFonts w:eastAsia="Batang"/>
          <w:b/>
          <w:bCs/>
          <w:lang w:val="en-US"/>
        </w:rPr>
        <w:t xml:space="preserve"> </w:t>
      </w:r>
      <w:r w:rsidR="009B7C3D" w:rsidRPr="00B47F26">
        <w:rPr>
          <w:rFonts w:eastAsia="Batang"/>
          <w:b/>
          <w:bCs/>
          <w:lang w:val="en-US"/>
        </w:rPr>
        <w:t xml:space="preserve">even in anchor carrier, </w:t>
      </w:r>
      <w:r w:rsidR="00083617" w:rsidRPr="00B47F26">
        <w:rPr>
          <w:rFonts w:eastAsia="Batang"/>
          <w:b/>
          <w:bCs/>
          <w:lang w:val="en-US"/>
        </w:rPr>
        <w:t xml:space="preserve">measurements from two successive DRX cycles can be </w:t>
      </w:r>
      <w:r w:rsidR="005D3BD9" w:rsidRPr="00B47F26">
        <w:rPr>
          <w:rFonts w:eastAsia="Batang"/>
          <w:b/>
          <w:bCs/>
          <w:lang w:val="en-US"/>
        </w:rPr>
        <w:t xml:space="preserve">18 dB </w:t>
      </w:r>
      <w:r w:rsidR="00ED7D35" w:rsidRPr="00B47F26">
        <w:rPr>
          <w:rFonts w:eastAsia="Batang"/>
          <w:b/>
          <w:bCs/>
          <w:lang w:val="en-US"/>
        </w:rPr>
        <w:t xml:space="preserve">and 26.6 dB </w:t>
      </w:r>
      <w:r w:rsidR="005D3BD9" w:rsidRPr="00B47F26">
        <w:rPr>
          <w:rFonts w:eastAsia="Batang"/>
          <w:b/>
          <w:bCs/>
          <w:lang w:val="en-US"/>
        </w:rPr>
        <w:t xml:space="preserve">apart in normal </w:t>
      </w:r>
      <w:r w:rsidR="00ED7D35" w:rsidRPr="00B47F26">
        <w:rPr>
          <w:rFonts w:eastAsia="Batang"/>
          <w:b/>
          <w:bCs/>
          <w:lang w:val="en-US"/>
        </w:rPr>
        <w:t xml:space="preserve">and enhanced </w:t>
      </w:r>
      <w:r w:rsidR="005D3BD9" w:rsidRPr="00B47F26">
        <w:rPr>
          <w:rFonts w:eastAsia="Batang"/>
          <w:b/>
          <w:bCs/>
          <w:lang w:val="en-US"/>
        </w:rPr>
        <w:t>coverage</w:t>
      </w:r>
      <w:r w:rsidR="00ED7D35" w:rsidRPr="00B47F26">
        <w:rPr>
          <w:rFonts w:eastAsia="Batang"/>
          <w:b/>
          <w:bCs/>
          <w:lang w:val="en-US"/>
        </w:rPr>
        <w:t xml:space="preserve">, respectively. </w:t>
      </w:r>
      <w:r w:rsidR="00C9768C" w:rsidRPr="00B47F26">
        <w:rPr>
          <w:rFonts w:eastAsia="Batang"/>
          <w:b/>
          <w:bCs/>
          <w:lang w:val="en-US"/>
        </w:rPr>
        <w:t>Yet, no restriction on filtering/combining them</w:t>
      </w:r>
      <w:r w:rsidR="00810015" w:rsidRPr="00B47F26">
        <w:rPr>
          <w:rFonts w:eastAsia="Batang"/>
          <w:b/>
          <w:bCs/>
          <w:lang w:val="en-US"/>
        </w:rPr>
        <w:t xml:space="preserve"> exist in </w:t>
      </w:r>
      <w:r w:rsidR="009B7C3D" w:rsidRPr="00B47F26">
        <w:rPr>
          <w:rFonts w:eastAsia="Batang"/>
          <w:b/>
          <w:bCs/>
          <w:lang w:val="en-US"/>
        </w:rPr>
        <w:t xml:space="preserve">current specification. </w:t>
      </w:r>
    </w:p>
    <w:p w14:paraId="01D0F2B6" w14:textId="517F3EF9" w:rsidR="007955CA" w:rsidRPr="007955CA" w:rsidRDefault="007955CA" w:rsidP="00351AE3">
      <w:pPr>
        <w:rPr>
          <w:rFonts w:eastAsia="Batang"/>
          <w:lang w:val="en-US"/>
        </w:rPr>
      </w:pPr>
      <w:r>
        <w:rPr>
          <w:rFonts w:eastAsia="Batang"/>
          <w:lang w:val="en-US"/>
        </w:rPr>
        <w:t xml:space="preserve">We fail to see how such margins in the frequency domain due to measurements on anchor and non-anchor carriers can be different or why they should be treated differently by defining a new UE behavior. Moreover, any threshold would have to accommodate the large estimation errors in NB-IoT which readily renders it useless. </w:t>
      </w:r>
    </w:p>
    <w:p w14:paraId="471DEAC9" w14:textId="4EEB165D" w:rsidR="002B69C9" w:rsidRPr="00A435FD" w:rsidRDefault="00351AE3" w:rsidP="00C85E54">
      <w:pPr>
        <w:rPr>
          <w:rFonts w:eastAsia="Batang"/>
          <w:lang w:val="en-US"/>
        </w:rPr>
      </w:pPr>
      <w:r w:rsidRPr="00966BDA">
        <w:rPr>
          <w:rFonts w:eastAsia="Batang"/>
          <w:b/>
          <w:bCs/>
          <w:lang w:val="en-US"/>
        </w:rPr>
        <w:t>Proposal</w:t>
      </w:r>
      <w:r>
        <w:rPr>
          <w:rFonts w:eastAsia="Batang"/>
          <w:b/>
          <w:bCs/>
          <w:lang w:val="en-US"/>
        </w:rPr>
        <w:t xml:space="preserve"> </w:t>
      </w:r>
      <w:r w:rsidR="005F3EA6">
        <w:rPr>
          <w:rFonts w:eastAsia="Batang"/>
          <w:b/>
          <w:bCs/>
          <w:lang w:val="en-US"/>
        </w:rPr>
        <w:t>1</w:t>
      </w:r>
      <w:r w:rsidRPr="00966BDA">
        <w:rPr>
          <w:rFonts w:eastAsia="Batang"/>
          <w:b/>
          <w:bCs/>
          <w:lang w:val="en-US"/>
        </w:rPr>
        <w:t xml:space="preserve">. NRSRP measurements on non-anchor carrier can be filtered or combined with NRSRP measurement on anchor carrier after translating the non-anchor carrier measurement with parameter </w:t>
      </w:r>
      <w:r w:rsidRPr="00EA4094">
        <w:rPr>
          <w:rFonts w:eastAsia="Batang"/>
          <w:b/>
          <w:bCs/>
          <w:i/>
          <w:iCs/>
          <w:lang w:val="en-US" w:eastAsia="zh-CN"/>
        </w:rPr>
        <w:t>nrs-</w:t>
      </w:r>
      <w:r w:rsidRPr="00CA340A">
        <w:rPr>
          <w:rFonts w:eastAsia="Batang"/>
          <w:b/>
          <w:bCs/>
          <w:i/>
          <w:iCs/>
          <w:lang w:val="en-US" w:eastAsia="zh-CN"/>
        </w:rPr>
        <w:t xml:space="preserve">PowerOffsetNonAnchor </w:t>
      </w:r>
      <w:r w:rsidRPr="00CA340A">
        <w:rPr>
          <w:rFonts w:eastAsia="Batang"/>
          <w:b/>
          <w:bCs/>
          <w:lang w:val="en-US" w:eastAsia="zh-CN"/>
        </w:rPr>
        <w:t>without any conditions or prerequisites.</w:t>
      </w:r>
      <w:r>
        <w:rPr>
          <w:rFonts w:eastAsia="Batang"/>
          <w:lang w:val="en-US" w:eastAsia="zh-CN"/>
        </w:rPr>
        <w:t xml:space="preserve"> </w:t>
      </w:r>
    </w:p>
    <w:p w14:paraId="05109B46" w14:textId="2BC5D21E" w:rsidR="00F2107A" w:rsidRDefault="0032488E" w:rsidP="005D6C7D">
      <w:pPr>
        <w:pStyle w:val="Heading1"/>
        <w:rPr>
          <w:lang w:val="en-US"/>
        </w:rPr>
      </w:pPr>
      <w:r>
        <w:rPr>
          <w:lang w:val="en-US"/>
        </w:rPr>
        <w:t>Con</w:t>
      </w:r>
      <w:r w:rsidR="00F2107A">
        <w:rPr>
          <w:lang w:val="en-US"/>
        </w:rPr>
        <w:t>clusions</w:t>
      </w:r>
    </w:p>
    <w:p w14:paraId="17615232" w14:textId="77777777" w:rsidR="00A435FD" w:rsidRPr="00565254" w:rsidRDefault="00A435FD" w:rsidP="00A435FD">
      <w:pPr>
        <w:rPr>
          <w:rFonts w:eastAsia="Batang"/>
          <w:b/>
          <w:bCs/>
          <w:lang w:val="en-US"/>
        </w:rPr>
      </w:pPr>
      <w:r w:rsidRPr="00565254">
        <w:rPr>
          <w:rFonts w:eastAsia="Batang"/>
          <w:b/>
          <w:bCs/>
          <w:lang w:val="en-US"/>
        </w:rPr>
        <w:t xml:space="preserve">Observation 1. Current specification mandates UE to filter NRSRP measurements across DRX cycles, i.e., time-domain channel variation does not prevent UE from filtering NRSRP measurements and no specific condition to allow filtering exists. </w:t>
      </w:r>
    </w:p>
    <w:p w14:paraId="08BBDB09" w14:textId="77777777" w:rsidR="00A435FD" w:rsidRDefault="00A435FD" w:rsidP="00A435FD">
      <w:pPr>
        <w:rPr>
          <w:rFonts w:eastAsia="Batang"/>
          <w:b/>
          <w:bCs/>
          <w:lang w:val="en-US"/>
        </w:rPr>
      </w:pPr>
      <w:r w:rsidRPr="00B47F26">
        <w:rPr>
          <w:rFonts w:eastAsia="Batang"/>
          <w:b/>
          <w:bCs/>
          <w:lang w:val="en-US"/>
        </w:rPr>
        <w:t xml:space="preserve">Observation 2. Considering the combined effect of fading and NRSRP estimation accuracy, even in anchor carrier, measurements from two successive DRX cycles can be 18 dB and 26.6 dB apart in normal and enhanced coverage, respectively. Yet, no restriction on filtering/combining them exist in current specification. </w:t>
      </w:r>
    </w:p>
    <w:p w14:paraId="4B7C0144" w14:textId="1572F3CD" w:rsidR="00804DAC" w:rsidRPr="00A435FD" w:rsidRDefault="00A435FD" w:rsidP="00804DAC">
      <w:pPr>
        <w:rPr>
          <w:rFonts w:eastAsia="Batang"/>
          <w:lang w:val="en-US"/>
        </w:rPr>
      </w:pPr>
      <w:r w:rsidRPr="00966BDA">
        <w:rPr>
          <w:rFonts w:eastAsia="Batang"/>
          <w:b/>
          <w:bCs/>
          <w:lang w:val="en-US"/>
        </w:rPr>
        <w:t>Proposal</w:t>
      </w:r>
      <w:r>
        <w:rPr>
          <w:rFonts w:eastAsia="Batang"/>
          <w:b/>
          <w:bCs/>
          <w:lang w:val="en-US"/>
        </w:rPr>
        <w:t xml:space="preserve"> 1</w:t>
      </w:r>
      <w:r w:rsidRPr="00966BDA">
        <w:rPr>
          <w:rFonts w:eastAsia="Batang"/>
          <w:b/>
          <w:bCs/>
          <w:lang w:val="en-US"/>
        </w:rPr>
        <w:t xml:space="preserve">. NRSRP measurements on non-anchor carrier can be filtered or combined with NRSRP measurement on anchor carrier after translating the non-anchor carrier measurement with parameter </w:t>
      </w:r>
      <w:r w:rsidRPr="00EA4094">
        <w:rPr>
          <w:rFonts w:eastAsia="Batang"/>
          <w:b/>
          <w:bCs/>
          <w:i/>
          <w:iCs/>
          <w:lang w:val="en-US" w:eastAsia="zh-CN"/>
        </w:rPr>
        <w:t>nrs-</w:t>
      </w:r>
      <w:r w:rsidRPr="00CA340A">
        <w:rPr>
          <w:rFonts w:eastAsia="Batang"/>
          <w:b/>
          <w:bCs/>
          <w:i/>
          <w:iCs/>
          <w:lang w:val="en-US" w:eastAsia="zh-CN"/>
        </w:rPr>
        <w:t xml:space="preserve">PowerOffsetNonAnchor </w:t>
      </w:r>
      <w:r w:rsidRPr="00CA340A">
        <w:rPr>
          <w:rFonts w:eastAsia="Batang"/>
          <w:b/>
          <w:bCs/>
          <w:lang w:val="en-US" w:eastAsia="zh-CN"/>
        </w:rPr>
        <w:t>without any conditions or prerequisites.</w:t>
      </w:r>
      <w:r>
        <w:rPr>
          <w:rFonts w:eastAsia="Batang"/>
          <w:lang w:val="en-US" w:eastAsia="zh-CN"/>
        </w:rPr>
        <w:t xml:space="preserve"> </w:t>
      </w:r>
    </w:p>
    <w:p w14:paraId="0C633F9D" w14:textId="2FAFCE22" w:rsidR="00797CE5" w:rsidRDefault="00797CE5" w:rsidP="006050F7">
      <w:pPr>
        <w:pStyle w:val="Heading1"/>
        <w:numPr>
          <w:ilvl w:val="0"/>
          <w:numId w:val="0"/>
        </w:numPr>
        <w:rPr>
          <w:lang w:val="en-US"/>
        </w:rPr>
      </w:pPr>
      <w:r>
        <w:rPr>
          <w:lang w:val="en-US"/>
        </w:rPr>
        <w:t>References</w:t>
      </w:r>
    </w:p>
    <w:p w14:paraId="0683BDEE" w14:textId="6E1F32C7" w:rsidR="0045046B" w:rsidRPr="0045046B" w:rsidRDefault="0045046B" w:rsidP="0045046B">
      <w:pPr>
        <w:rPr>
          <w:lang w:val="en-US"/>
        </w:rPr>
      </w:pPr>
      <w:r>
        <w:rPr>
          <w:lang w:val="en-US"/>
        </w:rPr>
        <w:t>[1]</w:t>
      </w:r>
      <w:r w:rsidR="0065354F">
        <w:rPr>
          <w:lang w:val="en-US"/>
        </w:rPr>
        <w:t xml:space="preserve"> R4-</w:t>
      </w:r>
      <w:r w:rsidR="000978D5">
        <w:rPr>
          <w:lang w:val="en-US"/>
        </w:rPr>
        <w:t>2002337</w:t>
      </w:r>
    </w:p>
    <w:p w14:paraId="7B142946" w14:textId="6F497208" w:rsidR="00BF31AD" w:rsidRDefault="00BF31AD" w:rsidP="00797CE5">
      <w:pPr>
        <w:rPr>
          <w:lang w:val="en-US"/>
        </w:rPr>
      </w:pPr>
    </w:p>
    <w:sectPr w:rsidR="00BF31AD" w:rsidSect="00571A0A">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485472" w14:textId="77777777" w:rsidR="002D5077" w:rsidRDefault="002D5077">
      <w:r>
        <w:separator/>
      </w:r>
    </w:p>
  </w:endnote>
  <w:endnote w:type="continuationSeparator" w:id="0">
    <w:p w14:paraId="074F9583" w14:textId="77777777" w:rsidR="002D5077" w:rsidRDefault="002D5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Math">
    <w:altName w:val="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A44559" w14:textId="77777777" w:rsidR="002D5077" w:rsidRDefault="002D5077">
      <w:r>
        <w:separator/>
      </w:r>
    </w:p>
  </w:footnote>
  <w:footnote w:type="continuationSeparator" w:id="0">
    <w:p w14:paraId="5C23E35D" w14:textId="77777777" w:rsidR="002D5077" w:rsidRDefault="002D50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E6F8F"/>
    <w:multiLevelType w:val="hybridMultilevel"/>
    <w:tmpl w:val="0FC2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B1A0E"/>
    <w:multiLevelType w:val="hybridMultilevel"/>
    <w:tmpl w:val="5E160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D77C16"/>
    <w:multiLevelType w:val="hybridMultilevel"/>
    <w:tmpl w:val="6B2E2E00"/>
    <w:lvl w:ilvl="0" w:tplc="263AC12E">
      <w:start w:val="1"/>
      <w:numFmt w:val="bullet"/>
      <w:lvlText w:val="•"/>
      <w:lvlJc w:val="left"/>
      <w:pPr>
        <w:tabs>
          <w:tab w:val="num" w:pos="360"/>
        </w:tabs>
        <w:ind w:left="360" w:hanging="360"/>
      </w:pPr>
      <w:rPr>
        <w:rFonts w:ascii="Arial" w:hAnsi="Arial" w:hint="default"/>
      </w:rPr>
    </w:lvl>
    <w:lvl w:ilvl="1" w:tplc="89529EFC">
      <w:numFmt w:val="bullet"/>
      <w:lvlText w:val="•"/>
      <w:lvlJc w:val="left"/>
      <w:pPr>
        <w:tabs>
          <w:tab w:val="num" w:pos="1080"/>
        </w:tabs>
        <w:ind w:left="1080" w:hanging="360"/>
      </w:pPr>
      <w:rPr>
        <w:rFonts w:ascii="Arial" w:hAnsi="Arial" w:hint="default"/>
      </w:rPr>
    </w:lvl>
    <w:lvl w:ilvl="2" w:tplc="B804168E" w:tentative="1">
      <w:start w:val="1"/>
      <w:numFmt w:val="bullet"/>
      <w:lvlText w:val="•"/>
      <w:lvlJc w:val="left"/>
      <w:pPr>
        <w:tabs>
          <w:tab w:val="num" w:pos="1800"/>
        </w:tabs>
        <w:ind w:left="1800" w:hanging="360"/>
      </w:pPr>
      <w:rPr>
        <w:rFonts w:ascii="Arial" w:hAnsi="Arial" w:hint="default"/>
      </w:rPr>
    </w:lvl>
    <w:lvl w:ilvl="3" w:tplc="C8FE6F6E" w:tentative="1">
      <w:start w:val="1"/>
      <w:numFmt w:val="bullet"/>
      <w:lvlText w:val="•"/>
      <w:lvlJc w:val="left"/>
      <w:pPr>
        <w:tabs>
          <w:tab w:val="num" w:pos="2520"/>
        </w:tabs>
        <w:ind w:left="2520" w:hanging="360"/>
      </w:pPr>
      <w:rPr>
        <w:rFonts w:ascii="Arial" w:hAnsi="Arial" w:hint="default"/>
      </w:rPr>
    </w:lvl>
    <w:lvl w:ilvl="4" w:tplc="6D781B0E" w:tentative="1">
      <w:start w:val="1"/>
      <w:numFmt w:val="bullet"/>
      <w:lvlText w:val="•"/>
      <w:lvlJc w:val="left"/>
      <w:pPr>
        <w:tabs>
          <w:tab w:val="num" w:pos="3240"/>
        </w:tabs>
        <w:ind w:left="3240" w:hanging="360"/>
      </w:pPr>
      <w:rPr>
        <w:rFonts w:ascii="Arial" w:hAnsi="Arial" w:hint="default"/>
      </w:rPr>
    </w:lvl>
    <w:lvl w:ilvl="5" w:tplc="56160E28" w:tentative="1">
      <w:start w:val="1"/>
      <w:numFmt w:val="bullet"/>
      <w:lvlText w:val="•"/>
      <w:lvlJc w:val="left"/>
      <w:pPr>
        <w:tabs>
          <w:tab w:val="num" w:pos="3960"/>
        </w:tabs>
        <w:ind w:left="3960" w:hanging="360"/>
      </w:pPr>
      <w:rPr>
        <w:rFonts w:ascii="Arial" w:hAnsi="Arial" w:hint="default"/>
      </w:rPr>
    </w:lvl>
    <w:lvl w:ilvl="6" w:tplc="5CAE06C2" w:tentative="1">
      <w:start w:val="1"/>
      <w:numFmt w:val="bullet"/>
      <w:lvlText w:val="•"/>
      <w:lvlJc w:val="left"/>
      <w:pPr>
        <w:tabs>
          <w:tab w:val="num" w:pos="4680"/>
        </w:tabs>
        <w:ind w:left="4680" w:hanging="360"/>
      </w:pPr>
      <w:rPr>
        <w:rFonts w:ascii="Arial" w:hAnsi="Arial" w:hint="default"/>
      </w:rPr>
    </w:lvl>
    <w:lvl w:ilvl="7" w:tplc="91ECA076" w:tentative="1">
      <w:start w:val="1"/>
      <w:numFmt w:val="bullet"/>
      <w:lvlText w:val="•"/>
      <w:lvlJc w:val="left"/>
      <w:pPr>
        <w:tabs>
          <w:tab w:val="num" w:pos="5400"/>
        </w:tabs>
        <w:ind w:left="5400" w:hanging="360"/>
      </w:pPr>
      <w:rPr>
        <w:rFonts w:ascii="Arial" w:hAnsi="Arial" w:hint="default"/>
      </w:rPr>
    </w:lvl>
    <w:lvl w:ilvl="8" w:tplc="466AA9B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DCC5A0B"/>
    <w:multiLevelType w:val="hybridMultilevel"/>
    <w:tmpl w:val="1DA0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263636"/>
    <w:multiLevelType w:val="hybridMultilevel"/>
    <w:tmpl w:val="D10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5B0581"/>
    <w:multiLevelType w:val="hybridMultilevel"/>
    <w:tmpl w:val="ADF05248"/>
    <w:lvl w:ilvl="0" w:tplc="F51E33FC">
      <w:start w:val="1"/>
      <w:numFmt w:val="bullet"/>
      <w:lvlText w:val="•"/>
      <w:lvlJc w:val="left"/>
      <w:pPr>
        <w:tabs>
          <w:tab w:val="num" w:pos="720"/>
        </w:tabs>
        <w:ind w:left="720" w:hanging="360"/>
      </w:pPr>
      <w:rPr>
        <w:rFonts w:ascii="Arial" w:hAnsi="Arial" w:hint="default"/>
      </w:rPr>
    </w:lvl>
    <w:lvl w:ilvl="1" w:tplc="9AFE8E4C">
      <w:numFmt w:val="bullet"/>
      <w:lvlText w:val="–"/>
      <w:lvlJc w:val="left"/>
      <w:pPr>
        <w:tabs>
          <w:tab w:val="num" w:pos="1440"/>
        </w:tabs>
        <w:ind w:left="1440" w:hanging="360"/>
      </w:pPr>
      <w:rPr>
        <w:rFonts w:ascii="Arial" w:hAnsi="Arial" w:hint="default"/>
      </w:rPr>
    </w:lvl>
    <w:lvl w:ilvl="2" w:tplc="5F90806A" w:tentative="1">
      <w:start w:val="1"/>
      <w:numFmt w:val="bullet"/>
      <w:lvlText w:val="•"/>
      <w:lvlJc w:val="left"/>
      <w:pPr>
        <w:tabs>
          <w:tab w:val="num" w:pos="2160"/>
        </w:tabs>
        <w:ind w:left="2160" w:hanging="360"/>
      </w:pPr>
      <w:rPr>
        <w:rFonts w:ascii="Arial" w:hAnsi="Arial" w:hint="default"/>
      </w:rPr>
    </w:lvl>
    <w:lvl w:ilvl="3" w:tplc="0B3E8830" w:tentative="1">
      <w:start w:val="1"/>
      <w:numFmt w:val="bullet"/>
      <w:lvlText w:val="•"/>
      <w:lvlJc w:val="left"/>
      <w:pPr>
        <w:tabs>
          <w:tab w:val="num" w:pos="2880"/>
        </w:tabs>
        <w:ind w:left="2880" w:hanging="360"/>
      </w:pPr>
      <w:rPr>
        <w:rFonts w:ascii="Arial" w:hAnsi="Arial" w:hint="default"/>
      </w:rPr>
    </w:lvl>
    <w:lvl w:ilvl="4" w:tplc="3A3EC43A" w:tentative="1">
      <w:start w:val="1"/>
      <w:numFmt w:val="bullet"/>
      <w:lvlText w:val="•"/>
      <w:lvlJc w:val="left"/>
      <w:pPr>
        <w:tabs>
          <w:tab w:val="num" w:pos="3600"/>
        </w:tabs>
        <w:ind w:left="3600" w:hanging="360"/>
      </w:pPr>
      <w:rPr>
        <w:rFonts w:ascii="Arial" w:hAnsi="Arial" w:hint="default"/>
      </w:rPr>
    </w:lvl>
    <w:lvl w:ilvl="5" w:tplc="6FC8E0E6" w:tentative="1">
      <w:start w:val="1"/>
      <w:numFmt w:val="bullet"/>
      <w:lvlText w:val="•"/>
      <w:lvlJc w:val="left"/>
      <w:pPr>
        <w:tabs>
          <w:tab w:val="num" w:pos="4320"/>
        </w:tabs>
        <w:ind w:left="4320" w:hanging="360"/>
      </w:pPr>
      <w:rPr>
        <w:rFonts w:ascii="Arial" w:hAnsi="Arial" w:hint="default"/>
      </w:rPr>
    </w:lvl>
    <w:lvl w:ilvl="6" w:tplc="56067BF4" w:tentative="1">
      <w:start w:val="1"/>
      <w:numFmt w:val="bullet"/>
      <w:lvlText w:val="•"/>
      <w:lvlJc w:val="left"/>
      <w:pPr>
        <w:tabs>
          <w:tab w:val="num" w:pos="5040"/>
        </w:tabs>
        <w:ind w:left="5040" w:hanging="360"/>
      </w:pPr>
      <w:rPr>
        <w:rFonts w:ascii="Arial" w:hAnsi="Arial" w:hint="default"/>
      </w:rPr>
    </w:lvl>
    <w:lvl w:ilvl="7" w:tplc="AC48F6B2" w:tentative="1">
      <w:start w:val="1"/>
      <w:numFmt w:val="bullet"/>
      <w:lvlText w:val="•"/>
      <w:lvlJc w:val="left"/>
      <w:pPr>
        <w:tabs>
          <w:tab w:val="num" w:pos="5760"/>
        </w:tabs>
        <w:ind w:left="5760" w:hanging="360"/>
      </w:pPr>
      <w:rPr>
        <w:rFonts w:ascii="Arial" w:hAnsi="Arial" w:hint="default"/>
      </w:rPr>
    </w:lvl>
    <w:lvl w:ilvl="8" w:tplc="B874C64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left="31680" w:firstLine="0"/>
      </w:pPr>
      <w:rPr>
        <w:rFonts w:hint="default"/>
      </w:rPr>
    </w:lvl>
    <w:lvl w:ilvl="5">
      <w:start w:val="1"/>
      <w:numFmt w:val="decimal"/>
      <w:lvlRestart w:val="0"/>
      <w:pStyle w:val="Heading5"/>
      <w:lvlText w:val="%1.%2.%3.%4%5.%6"/>
      <w:lvlJc w:val="left"/>
      <w:pPr>
        <w:tabs>
          <w:tab w:val="num" w:pos="31680"/>
        </w:tabs>
        <w:ind w:left="31680" w:firstLine="0"/>
      </w:pPr>
      <w:rPr>
        <w:rFonts w:hint="default"/>
      </w:rPr>
    </w:lvl>
    <w:lvl w:ilvl="6">
      <w:start w:val="1"/>
      <w:numFmt w:val="decimal"/>
      <w:pStyle w:val="Heading7"/>
      <w:lvlText w:val="%1.%2.%3.%4.%5.%6.%7"/>
      <w:lvlJc w:val="left"/>
      <w:pPr>
        <w:tabs>
          <w:tab w:val="num" w:pos="31680"/>
        </w:tabs>
        <w:ind w:left="31680" w:firstLine="0"/>
      </w:pPr>
      <w:rPr>
        <w:rFonts w:hint="default"/>
      </w:rPr>
    </w:lvl>
    <w:lvl w:ilvl="7">
      <w:start w:val="1"/>
      <w:numFmt w:val="decimal"/>
      <w:pStyle w:val="Heading8"/>
      <w:lvlText w:val="%1.%2.%3.%4.%5.%6.%7.%8"/>
      <w:lvlJc w:val="left"/>
      <w:pPr>
        <w:tabs>
          <w:tab w:val="num" w:pos="31680"/>
        </w:tabs>
        <w:ind w:left="31680" w:firstLine="0"/>
      </w:pPr>
      <w:rPr>
        <w:rFonts w:hint="default"/>
      </w:rPr>
    </w:lvl>
    <w:lvl w:ilvl="8">
      <w:start w:val="1"/>
      <w:numFmt w:val="decimal"/>
      <w:pStyle w:val="Heading9"/>
      <w:lvlText w:val="%1.%2.%3.%4.%5.%6.%7.%8.%9"/>
      <w:lvlJc w:val="left"/>
      <w:pPr>
        <w:tabs>
          <w:tab w:val="num" w:pos="31680"/>
        </w:tabs>
        <w:ind w:left="31680" w:firstLine="0"/>
      </w:pPr>
      <w:rPr>
        <w:rFonts w:hint="default"/>
      </w:rPr>
    </w:lvl>
  </w:abstractNum>
  <w:abstractNum w:abstractNumId="23"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DE3E66"/>
    <w:multiLevelType w:val="hybridMultilevel"/>
    <w:tmpl w:val="286AE10E"/>
    <w:lvl w:ilvl="0" w:tplc="634CF3E4">
      <w:start w:val="1"/>
      <w:numFmt w:val="bullet"/>
      <w:lvlText w:val="•"/>
      <w:lvlJc w:val="left"/>
      <w:pPr>
        <w:tabs>
          <w:tab w:val="num" w:pos="360"/>
        </w:tabs>
        <w:ind w:left="360" w:hanging="360"/>
      </w:pPr>
      <w:rPr>
        <w:rFonts w:ascii="Arial" w:hAnsi="Arial" w:hint="default"/>
      </w:rPr>
    </w:lvl>
    <w:lvl w:ilvl="1" w:tplc="F74486E0">
      <w:numFmt w:val="bullet"/>
      <w:lvlText w:val="•"/>
      <w:lvlJc w:val="left"/>
      <w:pPr>
        <w:tabs>
          <w:tab w:val="num" w:pos="1080"/>
        </w:tabs>
        <w:ind w:left="1080" w:hanging="360"/>
      </w:pPr>
      <w:rPr>
        <w:rFonts w:ascii="Arial" w:hAnsi="Arial" w:hint="default"/>
      </w:rPr>
    </w:lvl>
    <w:lvl w:ilvl="2" w:tplc="E730BA62">
      <w:numFmt w:val="bullet"/>
      <w:lvlText w:val="•"/>
      <w:lvlJc w:val="left"/>
      <w:pPr>
        <w:tabs>
          <w:tab w:val="num" w:pos="1800"/>
        </w:tabs>
        <w:ind w:left="1800" w:hanging="360"/>
      </w:pPr>
      <w:rPr>
        <w:rFonts w:ascii="Arial" w:hAnsi="Arial" w:hint="default"/>
      </w:rPr>
    </w:lvl>
    <w:lvl w:ilvl="3" w:tplc="E43EE3D8" w:tentative="1">
      <w:start w:val="1"/>
      <w:numFmt w:val="bullet"/>
      <w:lvlText w:val="•"/>
      <w:lvlJc w:val="left"/>
      <w:pPr>
        <w:tabs>
          <w:tab w:val="num" w:pos="2520"/>
        </w:tabs>
        <w:ind w:left="2520" w:hanging="360"/>
      </w:pPr>
      <w:rPr>
        <w:rFonts w:ascii="Arial" w:hAnsi="Arial" w:hint="default"/>
      </w:rPr>
    </w:lvl>
    <w:lvl w:ilvl="4" w:tplc="893C42F6" w:tentative="1">
      <w:start w:val="1"/>
      <w:numFmt w:val="bullet"/>
      <w:lvlText w:val="•"/>
      <w:lvlJc w:val="left"/>
      <w:pPr>
        <w:tabs>
          <w:tab w:val="num" w:pos="3240"/>
        </w:tabs>
        <w:ind w:left="3240" w:hanging="360"/>
      </w:pPr>
      <w:rPr>
        <w:rFonts w:ascii="Arial" w:hAnsi="Arial" w:hint="default"/>
      </w:rPr>
    </w:lvl>
    <w:lvl w:ilvl="5" w:tplc="256E7A60" w:tentative="1">
      <w:start w:val="1"/>
      <w:numFmt w:val="bullet"/>
      <w:lvlText w:val="•"/>
      <w:lvlJc w:val="left"/>
      <w:pPr>
        <w:tabs>
          <w:tab w:val="num" w:pos="3960"/>
        </w:tabs>
        <w:ind w:left="3960" w:hanging="360"/>
      </w:pPr>
      <w:rPr>
        <w:rFonts w:ascii="Arial" w:hAnsi="Arial" w:hint="default"/>
      </w:rPr>
    </w:lvl>
    <w:lvl w:ilvl="6" w:tplc="42E4B408" w:tentative="1">
      <w:start w:val="1"/>
      <w:numFmt w:val="bullet"/>
      <w:lvlText w:val="•"/>
      <w:lvlJc w:val="left"/>
      <w:pPr>
        <w:tabs>
          <w:tab w:val="num" w:pos="4680"/>
        </w:tabs>
        <w:ind w:left="4680" w:hanging="360"/>
      </w:pPr>
      <w:rPr>
        <w:rFonts w:ascii="Arial" w:hAnsi="Arial" w:hint="default"/>
      </w:rPr>
    </w:lvl>
    <w:lvl w:ilvl="7" w:tplc="0ED8B67A" w:tentative="1">
      <w:start w:val="1"/>
      <w:numFmt w:val="bullet"/>
      <w:lvlText w:val="•"/>
      <w:lvlJc w:val="left"/>
      <w:pPr>
        <w:tabs>
          <w:tab w:val="num" w:pos="5400"/>
        </w:tabs>
        <w:ind w:left="5400" w:hanging="360"/>
      </w:pPr>
      <w:rPr>
        <w:rFonts w:ascii="Arial" w:hAnsi="Arial" w:hint="default"/>
      </w:rPr>
    </w:lvl>
    <w:lvl w:ilvl="8" w:tplc="E9B43120"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7C692CC3"/>
    <w:multiLevelType w:val="hybridMultilevel"/>
    <w:tmpl w:val="CFD00A3E"/>
    <w:lvl w:ilvl="0" w:tplc="265CEE12">
      <w:start w:val="1"/>
      <w:numFmt w:val="bullet"/>
      <w:lvlText w:val="•"/>
      <w:lvlJc w:val="left"/>
      <w:pPr>
        <w:tabs>
          <w:tab w:val="num" w:pos="360"/>
        </w:tabs>
        <w:ind w:left="360" w:hanging="360"/>
      </w:pPr>
      <w:rPr>
        <w:rFonts w:ascii="Arial" w:hAnsi="Arial" w:hint="default"/>
      </w:rPr>
    </w:lvl>
    <w:lvl w:ilvl="1" w:tplc="B366D95C">
      <w:numFmt w:val="bullet"/>
      <w:lvlText w:val="•"/>
      <w:lvlJc w:val="left"/>
      <w:pPr>
        <w:tabs>
          <w:tab w:val="num" w:pos="1080"/>
        </w:tabs>
        <w:ind w:left="1080" w:hanging="360"/>
      </w:pPr>
      <w:rPr>
        <w:rFonts w:ascii="Arial" w:hAnsi="Arial" w:hint="default"/>
      </w:rPr>
    </w:lvl>
    <w:lvl w:ilvl="2" w:tplc="41525B6E">
      <w:numFmt w:val="bullet"/>
      <w:lvlText w:val="•"/>
      <w:lvlJc w:val="left"/>
      <w:pPr>
        <w:tabs>
          <w:tab w:val="num" w:pos="1800"/>
        </w:tabs>
        <w:ind w:left="1800" w:hanging="360"/>
      </w:pPr>
      <w:rPr>
        <w:rFonts w:ascii="Arial" w:hAnsi="Arial" w:hint="default"/>
      </w:rPr>
    </w:lvl>
    <w:lvl w:ilvl="3" w:tplc="170A6410" w:tentative="1">
      <w:start w:val="1"/>
      <w:numFmt w:val="bullet"/>
      <w:lvlText w:val="•"/>
      <w:lvlJc w:val="left"/>
      <w:pPr>
        <w:tabs>
          <w:tab w:val="num" w:pos="2520"/>
        </w:tabs>
        <w:ind w:left="2520" w:hanging="360"/>
      </w:pPr>
      <w:rPr>
        <w:rFonts w:ascii="Arial" w:hAnsi="Arial" w:hint="default"/>
      </w:rPr>
    </w:lvl>
    <w:lvl w:ilvl="4" w:tplc="2C202754" w:tentative="1">
      <w:start w:val="1"/>
      <w:numFmt w:val="bullet"/>
      <w:lvlText w:val="•"/>
      <w:lvlJc w:val="left"/>
      <w:pPr>
        <w:tabs>
          <w:tab w:val="num" w:pos="3240"/>
        </w:tabs>
        <w:ind w:left="3240" w:hanging="360"/>
      </w:pPr>
      <w:rPr>
        <w:rFonts w:ascii="Arial" w:hAnsi="Arial" w:hint="default"/>
      </w:rPr>
    </w:lvl>
    <w:lvl w:ilvl="5" w:tplc="3574165E" w:tentative="1">
      <w:start w:val="1"/>
      <w:numFmt w:val="bullet"/>
      <w:lvlText w:val="•"/>
      <w:lvlJc w:val="left"/>
      <w:pPr>
        <w:tabs>
          <w:tab w:val="num" w:pos="3960"/>
        </w:tabs>
        <w:ind w:left="3960" w:hanging="360"/>
      </w:pPr>
      <w:rPr>
        <w:rFonts w:ascii="Arial" w:hAnsi="Arial" w:hint="default"/>
      </w:rPr>
    </w:lvl>
    <w:lvl w:ilvl="6" w:tplc="52AE3896" w:tentative="1">
      <w:start w:val="1"/>
      <w:numFmt w:val="bullet"/>
      <w:lvlText w:val="•"/>
      <w:lvlJc w:val="left"/>
      <w:pPr>
        <w:tabs>
          <w:tab w:val="num" w:pos="4680"/>
        </w:tabs>
        <w:ind w:left="4680" w:hanging="360"/>
      </w:pPr>
      <w:rPr>
        <w:rFonts w:ascii="Arial" w:hAnsi="Arial" w:hint="default"/>
      </w:rPr>
    </w:lvl>
    <w:lvl w:ilvl="7" w:tplc="1FA4291E" w:tentative="1">
      <w:start w:val="1"/>
      <w:numFmt w:val="bullet"/>
      <w:lvlText w:val="•"/>
      <w:lvlJc w:val="left"/>
      <w:pPr>
        <w:tabs>
          <w:tab w:val="num" w:pos="5400"/>
        </w:tabs>
        <w:ind w:left="5400" w:hanging="360"/>
      </w:pPr>
      <w:rPr>
        <w:rFonts w:ascii="Arial" w:hAnsi="Arial" w:hint="default"/>
      </w:rPr>
    </w:lvl>
    <w:lvl w:ilvl="8" w:tplc="DFF42336"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31"/>
  </w:num>
  <w:num w:numId="3">
    <w:abstractNumId w:val="33"/>
  </w:num>
  <w:num w:numId="4">
    <w:abstractNumId w:val="14"/>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3"/>
  </w:num>
  <w:num w:numId="8">
    <w:abstractNumId w:val="10"/>
  </w:num>
  <w:num w:numId="9">
    <w:abstractNumId w:val="23"/>
  </w:num>
  <w:num w:numId="10">
    <w:abstractNumId w:val="4"/>
  </w:num>
  <w:num w:numId="11">
    <w:abstractNumId w:val="20"/>
  </w:num>
  <w:num w:numId="12">
    <w:abstractNumId w:val="8"/>
  </w:num>
  <w:num w:numId="13">
    <w:abstractNumId w:val="18"/>
  </w:num>
  <w:num w:numId="14">
    <w:abstractNumId w:val="2"/>
  </w:num>
  <w:num w:numId="15">
    <w:abstractNumId w:val="37"/>
  </w:num>
  <w:num w:numId="16">
    <w:abstractNumId w:val="27"/>
  </w:num>
  <w:num w:numId="17">
    <w:abstractNumId w:val="11"/>
  </w:num>
  <w:num w:numId="18">
    <w:abstractNumId w:val="36"/>
  </w:num>
  <w:num w:numId="19">
    <w:abstractNumId w:val="26"/>
  </w:num>
  <w:num w:numId="20">
    <w:abstractNumId w:val="17"/>
  </w:num>
  <w:num w:numId="21">
    <w:abstractNumId w:val="28"/>
  </w:num>
  <w:num w:numId="22">
    <w:abstractNumId w:val="25"/>
  </w:num>
  <w:num w:numId="23">
    <w:abstractNumId w:val="5"/>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29"/>
  </w:num>
  <w:num w:numId="26">
    <w:abstractNumId w:val="32"/>
  </w:num>
  <w:num w:numId="27">
    <w:abstractNumId w:val="7"/>
  </w:num>
  <w:num w:numId="28">
    <w:abstractNumId w:val="30"/>
  </w:num>
  <w:num w:numId="29">
    <w:abstractNumId w:val="21"/>
  </w:num>
  <w:num w:numId="30">
    <w:abstractNumId w:val="16"/>
  </w:num>
  <w:num w:numId="31">
    <w:abstractNumId w:val="24"/>
  </w:num>
  <w:num w:numId="32">
    <w:abstractNumId w:val="12"/>
  </w:num>
  <w:num w:numId="33">
    <w:abstractNumId w:val="3"/>
  </w:num>
  <w:num w:numId="34">
    <w:abstractNumId w:val="15"/>
  </w:num>
  <w:num w:numId="35">
    <w:abstractNumId w:val="9"/>
  </w:num>
  <w:num w:numId="36">
    <w:abstractNumId w:val="6"/>
  </w:num>
  <w:num w:numId="37">
    <w:abstractNumId w:val="35"/>
  </w:num>
  <w:num w:numId="38">
    <w:abstractNumId w:val="34"/>
  </w:num>
  <w:num w:numId="39">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6B"/>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26"/>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3FB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8C2"/>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476"/>
    <w:rsid w:val="0007357B"/>
    <w:rsid w:val="000737DA"/>
    <w:rsid w:val="00074192"/>
    <w:rsid w:val="00074466"/>
    <w:rsid w:val="00074491"/>
    <w:rsid w:val="000748AB"/>
    <w:rsid w:val="00074E2E"/>
    <w:rsid w:val="000750E4"/>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617"/>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874C0"/>
    <w:rsid w:val="000904F1"/>
    <w:rsid w:val="00090928"/>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8D5"/>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11F"/>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6B7"/>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EAC"/>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BC2"/>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0CA9"/>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C74"/>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1B4"/>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08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67F07"/>
    <w:rsid w:val="00170570"/>
    <w:rsid w:val="001706FF"/>
    <w:rsid w:val="001709BD"/>
    <w:rsid w:val="00170C0A"/>
    <w:rsid w:val="00170E74"/>
    <w:rsid w:val="00171C07"/>
    <w:rsid w:val="00171D23"/>
    <w:rsid w:val="00171E83"/>
    <w:rsid w:val="0017221A"/>
    <w:rsid w:val="001728DB"/>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93C"/>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72D"/>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6DEA"/>
    <w:rsid w:val="001A701F"/>
    <w:rsid w:val="001A745C"/>
    <w:rsid w:val="001A79A4"/>
    <w:rsid w:val="001B0033"/>
    <w:rsid w:val="001B0041"/>
    <w:rsid w:val="001B01BF"/>
    <w:rsid w:val="001B035A"/>
    <w:rsid w:val="001B0D79"/>
    <w:rsid w:val="001B0F6F"/>
    <w:rsid w:val="001B1099"/>
    <w:rsid w:val="001B11CA"/>
    <w:rsid w:val="001B12B5"/>
    <w:rsid w:val="001B1718"/>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1B9"/>
    <w:rsid w:val="001C064F"/>
    <w:rsid w:val="001C11F9"/>
    <w:rsid w:val="001C1821"/>
    <w:rsid w:val="001C186D"/>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ABF"/>
    <w:rsid w:val="001D4B43"/>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916"/>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A61"/>
    <w:rsid w:val="001F7D63"/>
    <w:rsid w:val="0020025E"/>
    <w:rsid w:val="002006B9"/>
    <w:rsid w:val="00200D15"/>
    <w:rsid w:val="00200E52"/>
    <w:rsid w:val="00200E56"/>
    <w:rsid w:val="00200EFC"/>
    <w:rsid w:val="0020127A"/>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2B5"/>
    <w:rsid w:val="00213766"/>
    <w:rsid w:val="002142D2"/>
    <w:rsid w:val="0021443F"/>
    <w:rsid w:val="0021455A"/>
    <w:rsid w:val="00214938"/>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76D"/>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61"/>
    <w:rsid w:val="002B4AB3"/>
    <w:rsid w:val="002B4CE9"/>
    <w:rsid w:val="002B4D87"/>
    <w:rsid w:val="002B51D0"/>
    <w:rsid w:val="002B55F3"/>
    <w:rsid w:val="002B57A9"/>
    <w:rsid w:val="002B5E9D"/>
    <w:rsid w:val="002B6395"/>
    <w:rsid w:val="002B639A"/>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289"/>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07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8C0"/>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D1F"/>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1EF"/>
    <w:rsid w:val="00321552"/>
    <w:rsid w:val="00321D66"/>
    <w:rsid w:val="00321EE2"/>
    <w:rsid w:val="003220E3"/>
    <w:rsid w:val="00322EBD"/>
    <w:rsid w:val="00322FEE"/>
    <w:rsid w:val="00323460"/>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6"/>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715"/>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AE3"/>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3DE"/>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073"/>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AA5"/>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7C9"/>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905"/>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6B"/>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0DF"/>
    <w:rsid w:val="004A3151"/>
    <w:rsid w:val="004A3245"/>
    <w:rsid w:val="004A3B52"/>
    <w:rsid w:val="004A4102"/>
    <w:rsid w:val="004A454B"/>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1277"/>
    <w:rsid w:val="004D1286"/>
    <w:rsid w:val="004D1352"/>
    <w:rsid w:val="004D174D"/>
    <w:rsid w:val="004D1955"/>
    <w:rsid w:val="004D1990"/>
    <w:rsid w:val="004D228E"/>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119"/>
    <w:rsid w:val="004E327B"/>
    <w:rsid w:val="004E373A"/>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344"/>
    <w:rsid w:val="005146DA"/>
    <w:rsid w:val="005151D3"/>
    <w:rsid w:val="00515AB2"/>
    <w:rsid w:val="00515D82"/>
    <w:rsid w:val="00515E37"/>
    <w:rsid w:val="00515FF1"/>
    <w:rsid w:val="0051612C"/>
    <w:rsid w:val="005167E8"/>
    <w:rsid w:val="00516B26"/>
    <w:rsid w:val="00516CC1"/>
    <w:rsid w:val="00516DAF"/>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465"/>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AB6"/>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5FA3"/>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B23"/>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254"/>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B3D"/>
    <w:rsid w:val="00575ED0"/>
    <w:rsid w:val="005762E7"/>
    <w:rsid w:val="00576A03"/>
    <w:rsid w:val="0058025A"/>
    <w:rsid w:val="0058034C"/>
    <w:rsid w:val="00580A3A"/>
    <w:rsid w:val="00580A65"/>
    <w:rsid w:val="00580B06"/>
    <w:rsid w:val="00580CE5"/>
    <w:rsid w:val="0058123B"/>
    <w:rsid w:val="005815C0"/>
    <w:rsid w:val="00581610"/>
    <w:rsid w:val="005820A9"/>
    <w:rsid w:val="005820FE"/>
    <w:rsid w:val="00582107"/>
    <w:rsid w:val="00582616"/>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542"/>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1E31"/>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BD9"/>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3EA6"/>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4821"/>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0EE1"/>
    <w:rsid w:val="00641591"/>
    <w:rsid w:val="006415CF"/>
    <w:rsid w:val="00641707"/>
    <w:rsid w:val="00641761"/>
    <w:rsid w:val="00641A77"/>
    <w:rsid w:val="00641AFB"/>
    <w:rsid w:val="00641C15"/>
    <w:rsid w:val="00642525"/>
    <w:rsid w:val="00642635"/>
    <w:rsid w:val="0064296E"/>
    <w:rsid w:val="00643283"/>
    <w:rsid w:val="006432C1"/>
    <w:rsid w:val="006436DF"/>
    <w:rsid w:val="00643717"/>
    <w:rsid w:val="0064388E"/>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6B"/>
    <w:rsid w:val="00652BD8"/>
    <w:rsid w:val="00652D75"/>
    <w:rsid w:val="00652DD1"/>
    <w:rsid w:val="00652FA4"/>
    <w:rsid w:val="0065354F"/>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2B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6EE"/>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8E3"/>
    <w:rsid w:val="006A4FF4"/>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C38"/>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E7D67"/>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00A"/>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778"/>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B0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097"/>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5C50"/>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20"/>
    <w:rsid w:val="007944FB"/>
    <w:rsid w:val="0079485D"/>
    <w:rsid w:val="00794D61"/>
    <w:rsid w:val="007951C7"/>
    <w:rsid w:val="007952C5"/>
    <w:rsid w:val="007954D6"/>
    <w:rsid w:val="007955A3"/>
    <w:rsid w:val="007955CA"/>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42D"/>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642"/>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C7A"/>
    <w:rsid w:val="007D4F2B"/>
    <w:rsid w:val="007D4FBF"/>
    <w:rsid w:val="007D5140"/>
    <w:rsid w:val="007D517A"/>
    <w:rsid w:val="007D520E"/>
    <w:rsid w:val="007D5519"/>
    <w:rsid w:val="007D5B3F"/>
    <w:rsid w:val="007D5BFB"/>
    <w:rsid w:val="007D61CC"/>
    <w:rsid w:val="007D6904"/>
    <w:rsid w:val="007D6CE6"/>
    <w:rsid w:val="007D70A7"/>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2AB6"/>
    <w:rsid w:val="007F2BF7"/>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6EE0"/>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015"/>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03"/>
    <w:rsid w:val="0083297F"/>
    <w:rsid w:val="00832EF7"/>
    <w:rsid w:val="008333D3"/>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84"/>
    <w:rsid w:val="008435C1"/>
    <w:rsid w:val="008436E7"/>
    <w:rsid w:val="0084379E"/>
    <w:rsid w:val="00843AD9"/>
    <w:rsid w:val="00843B0E"/>
    <w:rsid w:val="00843BF9"/>
    <w:rsid w:val="00844161"/>
    <w:rsid w:val="008445B9"/>
    <w:rsid w:val="0084460E"/>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67F99"/>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4DF"/>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30"/>
    <w:rsid w:val="008A19F5"/>
    <w:rsid w:val="008A1EB8"/>
    <w:rsid w:val="008A1EED"/>
    <w:rsid w:val="008A2168"/>
    <w:rsid w:val="008A224A"/>
    <w:rsid w:val="008A2701"/>
    <w:rsid w:val="008A27B2"/>
    <w:rsid w:val="008A28AF"/>
    <w:rsid w:val="008A2A7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243"/>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09AE"/>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C7B58"/>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C3E"/>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589"/>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87EC4"/>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3FF"/>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0ED0"/>
    <w:rsid w:val="009B1343"/>
    <w:rsid w:val="009B138A"/>
    <w:rsid w:val="009B167F"/>
    <w:rsid w:val="009B1759"/>
    <w:rsid w:val="009B17EC"/>
    <w:rsid w:val="009B19BD"/>
    <w:rsid w:val="009B204C"/>
    <w:rsid w:val="009B2757"/>
    <w:rsid w:val="009B2851"/>
    <w:rsid w:val="009B2C30"/>
    <w:rsid w:val="009B2DD8"/>
    <w:rsid w:val="009B2F9A"/>
    <w:rsid w:val="009B37FF"/>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C3D"/>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384"/>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DF3"/>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8FA"/>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5A"/>
    <w:rsid w:val="00A431F8"/>
    <w:rsid w:val="00A43200"/>
    <w:rsid w:val="00A435FD"/>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A7C"/>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97FE4"/>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4DC3"/>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A82"/>
    <w:rsid w:val="00AF5FEB"/>
    <w:rsid w:val="00AF656E"/>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2C6"/>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954"/>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01F"/>
    <w:rsid w:val="00B221C2"/>
    <w:rsid w:val="00B22598"/>
    <w:rsid w:val="00B226DA"/>
    <w:rsid w:val="00B22933"/>
    <w:rsid w:val="00B22EA0"/>
    <w:rsid w:val="00B22FC5"/>
    <w:rsid w:val="00B23059"/>
    <w:rsid w:val="00B238DE"/>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80C"/>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37BBC"/>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BB9"/>
    <w:rsid w:val="00B46CA5"/>
    <w:rsid w:val="00B47099"/>
    <w:rsid w:val="00B474C8"/>
    <w:rsid w:val="00B474E6"/>
    <w:rsid w:val="00B47751"/>
    <w:rsid w:val="00B47DD7"/>
    <w:rsid w:val="00B47F26"/>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4F9"/>
    <w:rsid w:val="00B569AF"/>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135"/>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6E3"/>
    <w:rsid w:val="00BC2838"/>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2BB8"/>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EA5"/>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38D"/>
    <w:rsid w:val="00C45488"/>
    <w:rsid w:val="00C458F4"/>
    <w:rsid w:val="00C45A84"/>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BE"/>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762"/>
    <w:rsid w:val="00C7082E"/>
    <w:rsid w:val="00C70C85"/>
    <w:rsid w:val="00C718D5"/>
    <w:rsid w:val="00C71E7D"/>
    <w:rsid w:val="00C71F6E"/>
    <w:rsid w:val="00C72188"/>
    <w:rsid w:val="00C72A78"/>
    <w:rsid w:val="00C72E43"/>
    <w:rsid w:val="00C735FC"/>
    <w:rsid w:val="00C7377E"/>
    <w:rsid w:val="00C73F1E"/>
    <w:rsid w:val="00C741A5"/>
    <w:rsid w:val="00C74319"/>
    <w:rsid w:val="00C74772"/>
    <w:rsid w:val="00C747CA"/>
    <w:rsid w:val="00C748FD"/>
    <w:rsid w:val="00C74B8B"/>
    <w:rsid w:val="00C74BBC"/>
    <w:rsid w:val="00C74BE1"/>
    <w:rsid w:val="00C74C81"/>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398"/>
    <w:rsid w:val="00C82D0D"/>
    <w:rsid w:val="00C82D23"/>
    <w:rsid w:val="00C82F6E"/>
    <w:rsid w:val="00C83091"/>
    <w:rsid w:val="00C8341D"/>
    <w:rsid w:val="00C83527"/>
    <w:rsid w:val="00C83582"/>
    <w:rsid w:val="00C84630"/>
    <w:rsid w:val="00C848D9"/>
    <w:rsid w:val="00C85138"/>
    <w:rsid w:val="00C85B90"/>
    <w:rsid w:val="00C85CDD"/>
    <w:rsid w:val="00C85E54"/>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68C"/>
    <w:rsid w:val="00C9775A"/>
    <w:rsid w:val="00C97940"/>
    <w:rsid w:val="00C97AA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ACF"/>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35F"/>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337"/>
    <w:rsid w:val="00D47564"/>
    <w:rsid w:val="00D47C86"/>
    <w:rsid w:val="00D504A1"/>
    <w:rsid w:val="00D504CF"/>
    <w:rsid w:val="00D505CA"/>
    <w:rsid w:val="00D50E4F"/>
    <w:rsid w:val="00D5115F"/>
    <w:rsid w:val="00D513BC"/>
    <w:rsid w:val="00D513F8"/>
    <w:rsid w:val="00D51548"/>
    <w:rsid w:val="00D51D44"/>
    <w:rsid w:val="00D522D6"/>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60121"/>
    <w:rsid w:val="00D60342"/>
    <w:rsid w:val="00D6045F"/>
    <w:rsid w:val="00D605D6"/>
    <w:rsid w:val="00D608CA"/>
    <w:rsid w:val="00D60AEB"/>
    <w:rsid w:val="00D60FEE"/>
    <w:rsid w:val="00D611AD"/>
    <w:rsid w:val="00D62259"/>
    <w:rsid w:val="00D62422"/>
    <w:rsid w:val="00D62623"/>
    <w:rsid w:val="00D6268B"/>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1B2A"/>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7D3"/>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37D"/>
    <w:rsid w:val="00D9156D"/>
    <w:rsid w:val="00D91DB5"/>
    <w:rsid w:val="00D91F91"/>
    <w:rsid w:val="00D926B7"/>
    <w:rsid w:val="00D92F09"/>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0FA1"/>
    <w:rsid w:val="00DA13C6"/>
    <w:rsid w:val="00DA1F88"/>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72E"/>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2AD7"/>
    <w:rsid w:val="00DE2FBF"/>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12D"/>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B3B"/>
    <w:rsid w:val="00E26E0A"/>
    <w:rsid w:val="00E26F21"/>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CDD"/>
    <w:rsid w:val="00E31E1A"/>
    <w:rsid w:val="00E32066"/>
    <w:rsid w:val="00E32A99"/>
    <w:rsid w:val="00E331AA"/>
    <w:rsid w:val="00E33A5A"/>
    <w:rsid w:val="00E33CB9"/>
    <w:rsid w:val="00E343BD"/>
    <w:rsid w:val="00E34913"/>
    <w:rsid w:val="00E34ADA"/>
    <w:rsid w:val="00E34B16"/>
    <w:rsid w:val="00E34D63"/>
    <w:rsid w:val="00E34D73"/>
    <w:rsid w:val="00E351E8"/>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271"/>
    <w:rsid w:val="00E4079E"/>
    <w:rsid w:val="00E408DB"/>
    <w:rsid w:val="00E41085"/>
    <w:rsid w:val="00E41333"/>
    <w:rsid w:val="00E414E7"/>
    <w:rsid w:val="00E41ED1"/>
    <w:rsid w:val="00E42308"/>
    <w:rsid w:val="00E423DD"/>
    <w:rsid w:val="00E42917"/>
    <w:rsid w:val="00E432E7"/>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E27"/>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3D67"/>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495"/>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9FD"/>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D7D35"/>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66E"/>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C9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4D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48"/>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C5B"/>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72D"/>
    <w:rsid w:val="00FB7ACD"/>
    <w:rsid w:val="00FB7E90"/>
    <w:rsid w:val="00FB7F07"/>
    <w:rsid w:val="00FC017D"/>
    <w:rsid w:val="00FC056A"/>
    <w:rsid w:val="00FC069F"/>
    <w:rsid w:val="00FC0836"/>
    <w:rsid w:val="00FC0E08"/>
    <w:rsid w:val="00FC0F5A"/>
    <w:rsid w:val="00FC108F"/>
    <w:rsid w:val="00FC10B4"/>
    <w:rsid w:val="00FC1614"/>
    <w:rsid w:val="00FC1696"/>
    <w:rsid w:val="00FC231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0815829">
      <w:bodyDiv w:val="1"/>
      <w:marLeft w:val="0"/>
      <w:marRight w:val="0"/>
      <w:marTop w:val="0"/>
      <w:marBottom w:val="0"/>
      <w:divBdr>
        <w:top w:val="none" w:sz="0" w:space="0" w:color="auto"/>
        <w:left w:val="none" w:sz="0" w:space="0" w:color="auto"/>
        <w:bottom w:val="none" w:sz="0" w:space="0" w:color="auto"/>
        <w:right w:val="none" w:sz="0" w:space="0" w:color="auto"/>
      </w:divBdr>
      <w:divsChild>
        <w:div w:id="697245852">
          <w:marLeft w:val="547"/>
          <w:marRight w:val="0"/>
          <w:marTop w:val="154"/>
          <w:marBottom w:val="0"/>
          <w:divBdr>
            <w:top w:val="none" w:sz="0" w:space="0" w:color="auto"/>
            <w:left w:val="none" w:sz="0" w:space="0" w:color="auto"/>
            <w:bottom w:val="none" w:sz="0" w:space="0" w:color="auto"/>
            <w:right w:val="none" w:sz="0" w:space="0" w:color="auto"/>
          </w:divBdr>
        </w:div>
        <w:div w:id="1884556038">
          <w:marLeft w:val="1166"/>
          <w:marRight w:val="0"/>
          <w:marTop w:val="77"/>
          <w:marBottom w:val="0"/>
          <w:divBdr>
            <w:top w:val="none" w:sz="0" w:space="0" w:color="auto"/>
            <w:left w:val="none" w:sz="0" w:space="0" w:color="auto"/>
            <w:bottom w:val="none" w:sz="0" w:space="0" w:color="auto"/>
            <w:right w:val="none" w:sz="0" w:space="0" w:color="auto"/>
          </w:divBdr>
        </w:div>
        <w:div w:id="1008600641">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E38F45-F581-4754-9938-4E49904F5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141</TotalTime>
  <Pages>2</Pages>
  <Words>876</Words>
  <Characters>4996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98</cp:revision>
  <cp:lastPrinted>2009-04-22T21:01:00Z</cp:lastPrinted>
  <dcterms:created xsi:type="dcterms:W3CDTF">2020-03-13T17:53:00Z</dcterms:created>
  <dcterms:modified xsi:type="dcterms:W3CDTF">2020-04-10T17:39:00Z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